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167D1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27.09.2023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167D1D">
              <w:rPr>
                <w:rFonts w:eastAsia="Times New Roman" w:cs="Times New Roman"/>
                <w:szCs w:val="28"/>
                <w:lang w:eastAsia="ar-SA"/>
              </w:rPr>
              <w:t>1299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9012FE">
        <w:rPr>
          <w:rFonts w:eastAsia="Times New Roman" w:cs="Times New Roman"/>
          <w:szCs w:val="28"/>
          <w:lang w:eastAsia="ar-SA"/>
        </w:rPr>
        <w:t>, от 29.12.2022 №1</w:t>
      </w:r>
      <w:r w:rsidR="000A406A">
        <w:rPr>
          <w:rFonts w:eastAsia="Times New Roman" w:cs="Times New Roman"/>
          <w:szCs w:val="28"/>
          <w:lang w:eastAsia="ar-SA"/>
        </w:rPr>
        <w:t>89</w:t>
      </w:r>
      <w:r w:rsidR="009012FE">
        <w:rPr>
          <w:rFonts w:eastAsia="Times New Roman" w:cs="Times New Roman"/>
          <w:szCs w:val="28"/>
          <w:lang w:eastAsia="ar-SA"/>
        </w:rPr>
        <w:t>6, от 26.01.2023 №115</w:t>
      </w:r>
      <w:r w:rsidR="002D53E6">
        <w:rPr>
          <w:rFonts w:eastAsia="Times New Roman" w:cs="Times New Roman"/>
          <w:szCs w:val="28"/>
          <w:lang w:eastAsia="ar-SA"/>
        </w:rPr>
        <w:t>, от 27.02.2023 №294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>е современной городской среды</w:t>
      </w:r>
      <w:proofErr w:type="gramEnd"/>
      <w:r w:rsidR="00534608">
        <w:rPr>
          <w:rFonts w:eastAsia="Times New Roman" w:cs="Times New Roman"/>
          <w:szCs w:val="28"/>
          <w:lang w:eastAsia="ar-SA"/>
        </w:rPr>
        <w:t xml:space="preserve">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2360A9" w:rsidRPr="00A74EAE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 xml:space="preserve">нформационном бюллетене органов местного самоуправления </w:t>
      </w:r>
      <w:r w:rsidR="00534608">
        <w:rPr>
          <w:rFonts w:eastAsia="Times New Roman" w:cs="Times New Roman"/>
          <w:szCs w:val="28"/>
          <w:lang w:eastAsia="ru-RU"/>
        </w:rPr>
        <w:lastRenderedPageBreak/>
        <w:t>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442744" w:rsidRDefault="00DD02D0" w:rsidP="002360A9">
      <w:pPr>
        <w:tabs>
          <w:tab w:val="left" w:pos="6840"/>
        </w:tabs>
        <w:spacing w:after="0" w:line="240" w:lineRule="auto"/>
        <w:rPr>
          <w:szCs w:val="28"/>
        </w:rPr>
      </w:pPr>
      <w:proofErr w:type="gramStart"/>
      <w:r>
        <w:rPr>
          <w:szCs w:val="28"/>
        </w:rPr>
        <w:t>Заведующий</w:t>
      </w:r>
      <w:proofErr w:type="gramEnd"/>
      <w:r w:rsidR="00AC13A1">
        <w:rPr>
          <w:szCs w:val="28"/>
        </w:rPr>
        <w:t xml:space="preserve"> </w:t>
      </w:r>
      <w:r w:rsidR="00D0486A" w:rsidRPr="008725C4">
        <w:rPr>
          <w:szCs w:val="28"/>
        </w:rPr>
        <w:t>правов</w:t>
      </w:r>
      <w:r w:rsidR="00AC13A1">
        <w:rPr>
          <w:szCs w:val="28"/>
        </w:rPr>
        <w:t>ого</w:t>
      </w:r>
      <w:r w:rsidR="003659B2" w:rsidRPr="008725C4">
        <w:rPr>
          <w:szCs w:val="28"/>
        </w:rPr>
        <w:t xml:space="preserve"> отдел</w:t>
      </w:r>
      <w:r w:rsidR="00AC13A1">
        <w:rPr>
          <w:szCs w:val="28"/>
        </w:rPr>
        <w:t>а</w:t>
      </w:r>
      <w:r w:rsidR="00613B71">
        <w:rPr>
          <w:szCs w:val="28"/>
        </w:rPr>
        <w:t xml:space="preserve">         </w:t>
      </w:r>
      <w:r w:rsidR="00AC13A1">
        <w:rPr>
          <w:szCs w:val="28"/>
        </w:rPr>
        <w:t xml:space="preserve">                   </w:t>
      </w:r>
      <w:r>
        <w:rPr>
          <w:szCs w:val="28"/>
        </w:rPr>
        <w:t xml:space="preserve">             </w:t>
      </w:r>
      <w:r w:rsidR="00AC13A1">
        <w:rPr>
          <w:szCs w:val="28"/>
        </w:rPr>
        <w:t xml:space="preserve">  </w:t>
      </w:r>
      <w:r>
        <w:rPr>
          <w:szCs w:val="28"/>
        </w:rPr>
        <w:t xml:space="preserve">Н.А. </w:t>
      </w:r>
      <w:proofErr w:type="spellStart"/>
      <w:r>
        <w:rPr>
          <w:szCs w:val="28"/>
        </w:rPr>
        <w:t>Шмигальская</w:t>
      </w:r>
      <w:proofErr w:type="spellEnd"/>
    </w:p>
    <w:p w:rsidR="00AC13A1" w:rsidRDefault="00AC13A1" w:rsidP="00442744">
      <w:pPr>
        <w:tabs>
          <w:tab w:val="left" w:pos="6840"/>
        </w:tabs>
        <w:spacing w:after="0" w:line="240" w:lineRule="auto"/>
        <w:rPr>
          <w:szCs w:val="28"/>
        </w:rPr>
      </w:pPr>
    </w:p>
    <w:p w:rsidR="00442744" w:rsidRPr="0044274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 xml:space="preserve">Заместитель главы администрации </w:t>
      </w:r>
    </w:p>
    <w:p w:rsidR="00442744" w:rsidRPr="0044274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 xml:space="preserve">муниципального округа </w:t>
      </w:r>
    </w:p>
    <w:p w:rsidR="00442744" w:rsidRPr="0044274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 xml:space="preserve">по финансово-экономической политике, </w:t>
      </w:r>
    </w:p>
    <w:p w:rsidR="00442744" w:rsidRPr="008725C4" w:rsidRDefault="00442744" w:rsidP="00442744">
      <w:pPr>
        <w:tabs>
          <w:tab w:val="left" w:pos="6840"/>
        </w:tabs>
        <w:spacing w:after="0" w:line="240" w:lineRule="auto"/>
        <w:rPr>
          <w:szCs w:val="28"/>
        </w:rPr>
      </w:pPr>
      <w:r w:rsidRPr="0044274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0A406A" w:rsidRDefault="000A406A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167D1D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27.09.2023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>№  1299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A45317" w:rsidRDefault="00650102" w:rsidP="006744F3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650102">
        <w:rPr>
          <w:rFonts w:eastAsia="Calibri" w:cs="Times New Roman"/>
          <w:szCs w:val="28"/>
          <w:lang w:eastAsia="ar-SA"/>
        </w:rPr>
        <w:t>1.</w:t>
      </w:r>
      <w:r w:rsidRPr="00650102">
        <w:rPr>
          <w:rFonts w:eastAsia="Calibri" w:cs="Times New Roman"/>
          <w:szCs w:val="28"/>
          <w:lang w:eastAsia="ar-SA"/>
        </w:rPr>
        <w:tab/>
      </w:r>
      <w:r w:rsidR="00DA4258">
        <w:rPr>
          <w:rFonts w:eastAsia="Calibri" w:cs="Times New Roman"/>
          <w:szCs w:val="28"/>
          <w:lang w:eastAsia="ar-SA"/>
        </w:rPr>
        <w:t>Раздел «</w:t>
      </w:r>
      <w:r w:rsidR="00DA4258" w:rsidRPr="00DA4258">
        <w:rPr>
          <w:rFonts w:eastAsia="Calibri" w:cs="Times New Roman"/>
          <w:szCs w:val="28"/>
          <w:lang w:eastAsia="ar-SA"/>
        </w:rPr>
        <w:t>Ресурсное обеспечение  муниципальной программы</w:t>
      </w:r>
      <w:r w:rsidR="00DA4258">
        <w:rPr>
          <w:rFonts w:eastAsia="Calibri" w:cs="Times New Roman"/>
          <w:szCs w:val="28"/>
          <w:lang w:eastAsia="ar-SA"/>
        </w:rPr>
        <w:t>»</w:t>
      </w:r>
      <w:r w:rsidR="00DA4258" w:rsidRPr="00DA4258">
        <w:rPr>
          <w:rFonts w:eastAsia="Calibri" w:cs="Times New Roman"/>
          <w:szCs w:val="28"/>
          <w:lang w:eastAsia="ar-SA"/>
        </w:rPr>
        <w:t xml:space="preserve"> </w:t>
      </w:r>
      <w:r w:rsidRPr="00650102">
        <w:rPr>
          <w:rFonts w:eastAsia="Calibri" w:cs="Times New Roman"/>
          <w:szCs w:val="28"/>
          <w:lang w:eastAsia="ar-SA"/>
        </w:rPr>
        <w:t>Паспорт</w:t>
      </w:r>
      <w:r w:rsidR="00DA4258">
        <w:rPr>
          <w:rFonts w:eastAsia="Calibri" w:cs="Times New Roman"/>
          <w:szCs w:val="28"/>
          <w:lang w:eastAsia="ar-SA"/>
        </w:rPr>
        <w:t>а</w:t>
      </w:r>
      <w:r w:rsidRPr="00650102">
        <w:rPr>
          <w:rFonts w:eastAsia="Calibri" w:cs="Times New Roman"/>
          <w:szCs w:val="28"/>
          <w:lang w:eastAsia="ar-SA"/>
        </w:rPr>
        <w:t xml:space="preserve"> муниципальной программы Верхнекамского муниципального округа Кировской области «Формирование современной городской среды»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DA4258" w:rsidRPr="002F1B18" w:rsidTr="00815617">
        <w:tc>
          <w:tcPr>
            <w:tcW w:w="2411" w:type="dxa"/>
          </w:tcPr>
          <w:p w:rsidR="00DA4258" w:rsidRPr="009D0CCC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D87828">
              <w:rPr>
                <w:rFonts w:eastAsia="Times New Roman" w:cs="Times New Roman"/>
                <w:sz w:val="26"/>
                <w:szCs w:val="26"/>
                <w:lang w:eastAsia="ru-RU"/>
              </w:rPr>
              <w:t>19581,13</w:t>
            </w:r>
            <w:r w:rsidR="00815617" w:rsidRPr="00442744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 w:rsidR="0047545B" w:rsidRPr="0047545B">
              <w:rPr>
                <w:rFonts w:eastAsia="Times New Roman" w:cs="Times New Roman"/>
                <w:sz w:val="26"/>
                <w:szCs w:val="26"/>
                <w:lang w:eastAsia="ru-RU"/>
              </w:rPr>
              <w:t>15646,</w:t>
            </w:r>
            <w:r w:rsidR="000852AD">
              <w:rPr>
                <w:rFonts w:eastAsia="Times New Roman" w:cs="Times New Roman"/>
                <w:sz w:val="26"/>
                <w:szCs w:val="26"/>
                <w:lang w:eastAsia="ru-RU"/>
              </w:rPr>
              <w:t>75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47545B">
              <w:rPr>
                <w:rFonts w:eastAsia="Times New Roman" w:cs="Times New Roman"/>
                <w:sz w:val="26"/>
                <w:szCs w:val="26"/>
                <w:lang w:eastAsia="ru-RU"/>
              </w:rPr>
              <w:t>2466</w:t>
            </w:r>
            <w:r w:rsidR="0047545B" w:rsidRPr="0047545B">
              <w:rPr>
                <w:rFonts w:eastAsia="Times New Roman" w:cs="Times New Roman"/>
                <w:sz w:val="26"/>
                <w:szCs w:val="26"/>
                <w:lang w:eastAsia="ru-RU"/>
              </w:rPr>
              <w:t>,65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DA4258" w:rsidRPr="002F1B18" w:rsidRDefault="00DA4258" w:rsidP="00815617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47545B" w:rsidRPr="0047545B">
              <w:rPr>
                <w:rFonts w:eastAsia="Times New Roman" w:cs="Times New Roman"/>
                <w:sz w:val="26"/>
                <w:szCs w:val="26"/>
                <w:lang w:eastAsia="ru-RU"/>
              </w:rPr>
              <w:t>1413,27</w:t>
            </w:r>
            <w:r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DA4258" w:rsidRPr="002F1B18" w:rsidRDefault="00DA4258" w:rsidP="00D87828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="00D87828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тыс. рублей</w:t>
            </w:r>
          </w:p>
        </w:tc>
      </w:tr>
    </w:tbl>
    <w:p w:rsidR="00DA4258" w:rsidRDefault="00DA4258" w:rsidP="006744F3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6744F3" w:rsidRPr="00B44B87" w:rsidRDefault="00650102" w:rsidP="006744F3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2. </w:t>
      </w:r>
      <w:r w:rsidR="006744F3" w:rsidRPr="00B44B87">
        <w:rPr>
          <w:rFonts w:eastAsia="Calibri" w:cs="Times New Roman"/>
          <w:szCs w:val="28"/>
          <w:lang w:eastAsia="ar-SA"/>
        </w:rPr>
        <w:t>Раздел 4 Муниципальной программы «Ресурсное обеспечение Программы» изложить в следующей редакции:</w:t>
      </w:r>
    </w:p>
    <w:p w:rsidR="006744F3" w:rsidRPr="00B44B87" w:rsidRDefault="006744F3" w:rsidP="00DB4A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3"/>
        <w:gridCol w:w="991"/>
        <w:gridCol w:w="1134"/>
        <w:gridCol w:w="710"/>
        <w:gridCol w:w="850"/>
        <w:gridCol w:w="851"/>
        <w:gridCol w:w="850"/>
        <w:gridCol w:w="851"/>
        <w:gridCol w:w="566"/>
      </w:tblGrid>
      <w:tr w:rsidR="006744F3" w:rsidRPr="00B44B87" w:rsidTr="00DB4AAF">
        <w:trPr>
          <w:cantSplit/>
          <w:trHeight w:val="251"/>
        </w:trPr>
        <w:tc>
          <w:tcPr>
            <w:tcW w:w="993" w:type="dxa"/>
            <w:vMerge w:val="restart"/>
          </w:tcPr>
          <w:p w:rsidR="006744F3" w:rsidRPr="00B44B87" w:rsidRDefault="006744F3" w:rsidP="00A45317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8788" w:type="dxa"/>
            <w:gridSpan w:val="10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6744F3" w:rsidRPr="00B44B87" w:rsidTr="00DB4AAF">
        <w:trPr>
          <w:cantSplit/>
          <w:trHeight w:val="251"/>
        </w:trPr>
        <w:tc>
          <w:tcPr>
            <w:tcW w:w="993" w:type="dxa"/>
            <w:vMerge/>
          </w:tcPr>
          <w:p w:rsidR="006744F3" w:rsidRPr="00B44B87" w:rsidRDefault="006744F3" w:rsidP="00A4531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7796" w:type="dxa"/>
            <w:gridSpan w:val="9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6744F3" w:rsidRPr="00B44B87" w:rsidTr="00815617">
        <w:trPr>
          <w:cantSplit/>
          <w:trHeight w:val="469"/>
        </w:trPr>
        <w:tc>
          <w:tcPr>
            <w:tcW w:w="993" w:type="dxa"/>
            <w:vMerge/>
          </w:tcPr>
          <w:p w:rsidR="006744F3" w:rsidRPr="00B44B87" w:rsidRDefault="006744F3" w:rsidP="00A45317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6744F3" w:rsidRPr="00B44B87" w:rsidRDefault="006744F3" w:rsidP="00A45317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991" w:type="dxa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</w:tcPr>
          <w:p w:rsidR="006744F3" w:rsidRPr="00B44B87" w:rsidRDefault="006744F3" w:rsidP="00A45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710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2025*</w:t>
            </w:r>
          </w:p>
        </w:tc>
        <w:tc>
          <w:tcPr>
            <w:tcW w:w="850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2026*</w:t>
            </w:r>
          </w:p>
        </w:tc>
        <w:tc>
          <w:tcPr>
            <w:tcW w:w="851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2027*</w:t>
            </w:r>
          </w:p>
        </w:tc>
        <w:tc>
          <w:tcPr>
            <w:tcW w:w="850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2028*</w:t>
            </w:r>
          </w:p>
        </w:tc>
        <w:tc>
          <w:tcPr>
            <w:tcW w:w="851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2029*</w:t>
            </w:r>
          </w:p>
        </w:tc>
        <w:tc>
          <w:tcPr>
            <w:tcW w:w="566" w:type="dxa"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2030*</w:t>
            </w:r>
          </w:p>
        </w:tc>
      </w:tr>
      <w:tr w:rsidR="00815617" w:rsidRPr="00B44B87" w:rsidTr="00815617">
        <w:trPr>
          <w:trHeight w:val="466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15617" w:rsidRDefault="00815617" w:rsidP="000852AD">
            <w:pPr>
              <w:jc w:val="center"/>
              <w:rPr>
                <w:color w:val="000000"/>
                <w:sz w:val="20"/>
                <w:szCs w:val="20"/>
              </w:rPr>
            </w:pPr>
            <w:r w:rsidRPr="00815617">
              <w:rPr>
                <w:color w:val="000000"/>
                <w:sz w:val="20"/>
                <w:szCs w:val="20"/>
              </w:rPr>
              <w:t>15646,</w:t>
            </w:r>
            <w:r w:rsidR="000852A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 w:rsidRPr="00650102">
              <w:rPr>
                <w:sz w:val="20"/>
                <w:szCs w:val="20"/>
              </w:rPr>
              <w:t>4725,27</w:t>
            </w:r>
          </w:p>
        </w:tc>
        <w:tc>
          <w:tcPr>
            <w:tcW w:w="991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 w:rsidRPr="00650102">
              <w:rPr>
                <w:sz w:val="20"/>
                <w:szCs w:val="20"/>
              </w:rPr>
              <w:t>5639,63</w:t>
            </w:r>
          </w:p>
        </w:tc>
        <w:tc>
          <w:tcPr>
            <w:tcW w:w="1134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 w:rsidRPr="00650102">
              <w:rPr>
                <w:sz w:val="20"/>
                <w:szCs w:val="20"/>
              </w:rPr>
              <w:t>5281,85</w:t>
            </w:r>
          </w:p>
        </w:tc>
        <w:tc>
          <w:tcPr>
            <w:tcW w:w="71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</w:tcPr>
          <w:p w:rsidR="00815617" w:rsidRPr="00650102" w:rsidRDefault="00815617" w:rsidP="00650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15617" w:rsidRPr="00B44B87" w:rsidTr="00815617">
        <w:trPr>
          <w:trHeight w:val="466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 w:rsidRPr="00815617">
              <w:rPr>
                <w:color w:val="000000"/>
                <w:sz w:val="20"/>
                <w:szCs w:val="20"/>
              </w:rPr>
              <w:t>2466,65</w:t>
            </w:r>
          </w:p>
        </w:tc>
        <w:tc>
          <w:tcPr>
            <w:tcW w:w="993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2356,33</w:t>
            </w:r>
          </w:p>
        </w:tc>
        <w:tc>
          <w:tcPr>
            <w:tcW w:w="991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1134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53,35</w:t>
            </w:r>
          </w:p>
        </w:tc>
        <w:tc>
          <w:tcPr>
            <w:tcW w:w="71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15617" w:rsidRPr="00B44B87" w:rsidTr="00815617">
        <w:trPr>
          <w:trHeight w:val="501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15617" w:rsidRPr="00650102" w:rsidRDefault="00815617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15617">
              <w:rPr>
                <w:bCs/>
                <w:color w:val="000000"/>
                <w:sz w:val="20"/>
                <w:szCs w:val="20"/>
              </w:rPr>
              <w:t>1413,27</w:t>
            </w:r>
          </w:p>
        </w:tc>
        <w:tc>
          <w:tcPr>
            <w:tcW w:w="993" w:type="dxa"/>
            <w:vAlign w:val="center"/>
          </w:tcPr>
          <w:p w:rsidR="00815617" w:rsidRPr="00650102" w:rsidRDefault="00463AB8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1181,83</w:t>
            </w:r>
          </w:p>
        </w:tc>
        <w:tc>
          <w:tcPr>
            <w:tcW w:w="991" w:type="dxa"/>
            <w:vAlign w:val="center"/>
          </w:tcPr>
          <w:p w:rsidR="00815617" w:rsidRPr="00650102" w:rsidRDefault="00463AB8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177,54</w:t>
            </w:r>
          </w:p>
        </w:tc>
        <w:tc>
          <w:tcPr>
            <w:tcW w:w="1134" w:type="dxa"/>
            <w:vAlign w:val="center"/>
          </w:tcPr>
          <w:p w:rsidR="00815617" w:rsidRPr="00650102" w:rsidRDefault="00463AB8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71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815617" w:rsidRDefault="00815617">
            <w:r w:rsidRPr="008316B4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815617" w:rsidRPr="00B44B87" w:rsidRDefault="00815617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7545B" w:rsidRPr="00B44B87" w:rsidTr="00815617">
        <w:trPr>
          <w:trHeight w:val="501"/>
        </w:trPr>
        <w:tc>
          <w:tcPr>
            <w:tcW w:w="993" w:type="dxa"/>
          </w:tcPr>
          <w:p w:rsidR="0047545B" w:rsidRPr="00B44B87" w:rsidRDefault="0047545B" w:rsidP="00A4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47545B" w:rsidRPr="00650102" w:rsidRDefault="00A9543E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54,46</w:t>
            </w:r>
          </w:p>
        </w:tc>
        <w:tc>
          <w:tcPr>
            <w:tcW w:w="993" w:type="dxa"/>
            <w:vAlign w:val="center"/>
          </w:tcPr>
          <w:p w:rsidR="0047545B" w:rsidRPr="00650102" w:rsidRDefault="0047545B" w:rsidP="00A621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91" w:type="dxa"/>
            <w:vAlign w:val="center"/>
          </w:tcPr>
          <w:p w:rsidR="0047545B" w:rsidRPr="00650102" w:rsidRDefault="00463AB8" w:rsidP="00A621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35,68</w:t>
            </w:r>
          </w:p>
        </w:tc>
        <w:tc>
          <w:tcPr>
            <w:tcW w:w="1134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10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47545B" w:rsidRPr="00650102" w:rsidRDefault="0047545B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50102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47545B" w:rsidRPr="00B44B87" w:rsidRDefault="0047545B" w:rsidP="00A453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15617" w:rsidRPr="00B44B87" w:rsidTr="00815617">
        <w:trPr>
          <w:trHeight w:val="501"/>
        </w:trPr>
        <w:tc>
          <w:tcPr>
            <w:tcW w:w="993" w:type="dxa"/>
          </w:tcPr>
          <w:p w:rsidR="00815617" w:rsidRPr="00B44B87" w:rsidRDefault="00815617" w:rsidP="00A45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815617" w:rsidRPr="00650102" w:rsidRDefault="00D87828" w:rsidP="006501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87828">
              <w:rPr>
                <w:bCs/>
                <w:color w:val="000000"/>
                <w:sz w:val="20"/>
                <w:szCs w:val="20"/>
              </w:rPr>
              <w:t>19581,13</w:t>
            </w:r>
          </w:p>
        </w:tc>
        <w:tc>
          <w:tcPr>
            <w:tcW w:w="993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8282,22</w:t>
            </w:r>
          </w:p>
        </w:tc>
        <w:tc>
          <w:tcPr>
            <w:tcW w:w="991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5909,28</w:t>
            </w:r>
          </w:p>
        </w:tc>
        <w:tc>
          <w:tcPr>
            <w:tcW w:w="1134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5389,10</w:t>
            </w:r>
          </w:p>
        </w:tc>
        <w:tc>
          <w:tcPr>
            <w:tcW w:w="710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6" w:type="dxa"/>
            <w:vAlign w:val="center"/>
          </w:tcPr>
          <w:p w:rsidR="00815617" w:rsidRDefault="00815617" w:rsidP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744F3" w:rsidRPr="00B44B87" w:rsidRDefault="006744F3" w:rsidP="006744F3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6744F3" w:rsidRPr="00B44B87" w:rsidRDefault="006744F3" w:rsidP="006744F3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Ресурсное обеспечение программы приведено в Приложении №12.</w:t>
      </w:r>
    </w:p>
    <w:p w:rsidR="006744F3" w:rsidRPr="00B44B87" w:rsidRDefault="006744F3" w:rsidP="006744F3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6744F3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6744F3" w:rsidRPr="00B44B87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6744F3" w:rsidRPr="00DB4AAF" w:rsidRDefault="006744F3" w:rsidP="00DA4258">
      <w:pPr>
        <w:spacing w:after="0" w:line="36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DB4AAF">
        <w:rPr>
          <w:rFonts w:eastAsia="Times New Roman" w:cs="Times New Roman"/>
          <w:szCs w:val="28"/>
          <w:lang w:eastAsia="ru-RU"/>
        </w:rPr>
        <w:t>2. Грифы приложений №1-12 к программе «Формирование современной городской среды на 2022-2024г»</w:t>
      </w:r>
      <w:r w:rsidR="00DB4AAF" w:rsidRPr="00DB4AAF">
        <w:rPr>
          <w:rFonts w:eastAsia="Times New Roman" w:cs="Times New Roman"/>
          <w:szCs w:val="28"/>
          <w:lang w:eastAsia="ru-RU"/>
        </w:rPr>
        <w:t xml:space="preserve"> изложить в следующей редакции: «Формирование современной городской среды на 2022-2030г»</w:t>
      </w:r>
    </w:p>
    <w:p w:rsidR="006744F3" w:rsidRPr="00B44B87" w:rsidRDefault="00DB4AAF" w:rsidP="006744F3">
      <w:pPr>
        <w:spacing w:after="0" w:line="36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744F3" w:rsidRPr="00B44B87">
        <w:rPr>
          <w:rFonts w:eastAsia="Times New Roman" w:cs="Times New Roman"/>
          <w:szCs w:val="28"/>
          <w:lang w:eastAsia="ru-RU"/>
        </w:rPr>
        <w:t xml:space="preserve">. Приложение № 3 к муниципальной программе «Адресный перечень дворовых территорий многоквартирных домов (с учетом их физического 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="006744F3" w:rsidRPr="00B44B87">
        <w:rPr>
          <w:rFonts w:eastAsia="Times New Roman" w:cs="Times New Roman"/>
          <w:szCs w:val="28"/>
          <w:lang w:eastAsia="ru-RU"/>
        </w:rPr>
        <w:t>исходя из минимального перечня работ по благоустройству на которых планируется</w:t>
      </w:r>
      <w:proofErr w:type="gramEnd"/>
      <w:r w:rsidR="006744F3" w:rsidRPr="00B44B87">
        <w:rPr>
          <w:rFonts w:eastAsia="Times New Roman" w:cs="Times New Roman"/>
          <w:szCs w:val="28"/>
          <w:lang w:eastAsia="ru-RU"/>
        </w:rPr>
        <w:t xml:space="preserve"> благоустройство до 2030 года»  изложить в следующей редакции:</w:t>
      </w:r>
    </w:p>
    <w:p w:rsidR="006744F3" w:rsidRPr="00B44B87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3968"/>
      </w:tblGrid>
      <w:tr w:rsidR="006744F3" w:rsidRPr="00B44B87" w:rsidTr="00DA4258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№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DA425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% износа дворовой территории по результатам инвентаризации 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DA4258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2023 год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DA4258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DA4258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</w:t>
            </w:r>
          </w:p>
        </w:tc>
      </w:tr>
      <w:tr w:rsidR="006744F3" w:rsidRPr="00B44B87" w:rsidTr="006744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Милицейская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63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2025 год*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2026 год*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2027 год*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66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2028 год*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6744F3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год*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6744F3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DA4258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56</w:t>
            </w:r>
          </w:p>
        </w:tc>
      </w:tr>
      <w:tr w:rsidR="006744F3" w:rsidRPr="00B44B87" w:rsidTr="00A45317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2030 год*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  <w:tr w:rsidR="006744F3" w:rsidRPr="00B44B8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6744F3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F3" w:rsidRPr="00B44B87" w:rsidRDefault="006744F3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</w:tbl>
    <w:p w:rsidR="006744F3" w:rsidRDefault="006744F3" w:rsidP="006744F3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B44B87">
        <w:rPr>
          <w:rFonts w:eastAsia="Times New Roman" w:cs="Times New Roman"/>
          <w:sz w:val="16"/>
          <w:szCs w:val="1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B44B87">
        <w:rPr>
          <w:rFonts w:eastAsia="Times New Roman" w:cs="Times New Roman"/>
          <w:sz w:val="16"/>
          <w:szCs w:val="16"/>
          <w:lang w:eastAsia="ru-RU"/>
        </w:rPr>
        <w:t>Кирсинского</w:t>
      </w:r>
      <w:proofErr w:type="spellEnd"/>
      <w:r w:rsidRPr="00B44B87">
        <w:rPr>
          <w:rFonts w:eastAsia="Times New Roman" w:cs="Times New Roman"/>
          <w:sz w:val="16"/>
          <w:szCs w:val="16"/>
          <w:lang w:eastAsia="ru-RU"/>
        </w:rPr>
        <w:t xml:space="preserve"> городского поселения 2018,2019,2020,2021 </w:t>
      </w:r>
      <w:proofErr w:type="spellStart"/>
      <w:proofErr w:type="gramStart"/>
      <w:r w:rsidRPr="00B44B87">
        <w:rPr>
          <w:rFonts w:eastAsia="Times New Roman" w:cs="Times New Roman"/>
          <w:sz w:val="16"/>
          <w:szCs w:val="16"/>
          <w:lang w:eastAsia="ru-RU"/>
        </w:rPr>
        <w:t>гг</w:t>
      </w:r>
      <w:proofErr w:type="spellEnd"/>
      <w:proofErr w:type="gramEnd"/>
      <w:r w:rsidRPr="00B44B87">
        <w:rPr>
          <w:rFonts w:eastAsia="Times New Roman" w:cs="Times New Roman"/>
          <w:sz w:val="16"/>
          <w:szCs w:val="1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</w:p>
    <w:p w:rsidR="00DA4258" w:rsidRPr="00B44B87" w:rsidRDefault="00DA4258" w:rsidP="006744F3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6744F3" w:rsidRDefault="00DB4AAF" w:rsidP="00DA4258">
      <w:pPr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r w:rsidRPr="00DB4AAF">
        <w:rPr>
          <w:rFonts w:eastAsia="Times New Roman" w:cs="Times New Roman"/>
          <w:szCs w:val="28"/>
          <w:lang w:eastAsia="ru-RU"/>
        </w:rPr>
        <w:t>Наименование программы в строке второй таблицы в приложении №8 к Программе слова «2022-2024 годы» заменить на «2022-2030 годы»</w:t>
      </w:r>
      <w:r>
        <w:rPr>
          <w:rFonts w:eastAsia="Times New Roman" w:cs="Times New Roman"/>
          <w:szCs w:val="28"/>
          <w:lang w:eastAsia="ru-RU"/>
        </w:rPr>
        <w:t>.</w:t>
      </w:r>
    </w:p>
    <w:p w:rsidR="00DB4AAF" w:rsidRDefault="00DB4AAF" w:rsidP="00DB4AAF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5. </w:t>
      </w:r>
      <w:r w:rsidRPr="008725C4">
        <w:rPr>
          <w:rFonts w:eastAsia="Calibri" w:cs="Times New Roman"/>
          <w:szCs w:val="28"/>
          <w:lang w:eastAsia="ru-RU"/>
        </w:rPr>
        <w:t xml:space="preserve">Приложение № </w:t>
      </w:r>
      <w:r>
        <w:rPr>
          <w:rFonts w:eastAsia="Calibri" w:cs="Times New Roman"/>
          <w:szCs w:val="28"/>
          <w:lang w:eastAsia="ru-RU"/>
        </w:rPr>
        <w:t>6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D97AC7">
        <w:rPr>
          <w:rFonts w:eastAsia="Calibri" w:cs="Times New Roman"/>
          <w:szCs w:val="28"/>
          <w:lang w:eastAsia="ru-RU"/>
        </w:rPr>
        <w:t>Адресный перечень  общественных территорий (с учетом их физического состояния общественной территории), расположенных на территории муниципального образования Верхнекамский муниципальный округ, на которых планируется благоустройство до 20</w:t>
      </w:r>
      <w:r>
        <w:rPr>
          <w:rFonts w:eastAsia="Calibri" w:cs="Times New Roman"/>
          <w:szCs w:val="28"/>
          <w:lang w:eastAsia="ru-RU"/>
        </w:rPr>
        <w:t>30</w:t>
      </w:r>
      <w:r w:rsidRPr="00D97AC7">
        <w:rPr>
          <w:rFonts w:eastAsia="Calibri" w:cs="Times New Roman"/>
          <w:szCs w:val="28"/>
          <w:lang w:eastAsia="ru-RU"/>
        </w:rPr>
        <w:t xml:space="preserve"> года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5"/>
        <w:gridCol w:w="3121"/>
        <w:gridCol w:w="2264"/>
      </w:tblGrid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территории общего пользования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Название территории общего пользования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территории по результатам инвентаризации по состоянию на 01.10.202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г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Городской парк у </w:t>
            </w:r>
            <w:r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Сквер по ул. Кирова у дома 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Центральная улица города – улица Кирова, нечетная сторона.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val="en-US" w:eastAsia="ru-RU"/>
              </w:rPr>
              <w:t>I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-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Кирова,14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Детская площадка у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здания почты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10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2019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Центральная улица города – улица Кирова, четная сторона.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II -этап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область, Верхнекамский район, г.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Ленина (от перекрестка ул. Ленина и ул. Кирова до перекрестка ул. Ленина и ул. Петровская)  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улица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Кирова, д.3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памяти» по ул. Кирова рядом с яслями  «Малыш»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 (от перекрестка ул. Ленин</w:t>
            </w:r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а-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Петровская до перекрестка ул. Ленина- ул. Октябрьская)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улица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ул. Заречная ( от перекрестка ул. Заречна</w:t>
            </w:r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>я-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Кирова до перекрестка ул. Заречная- Малая Заречная)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sz w:val="26"/>
                <w:szCs w:val="26"/>
              </w:rPr>
              <w:t xml:space="preserve"> ул. Заречная ( от перекрестка ул. Заречная- ул. Кирова до перекрестка ул. Заречная- Малая Заречная)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первый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Заводская, 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color w:val="FF0000"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Территория отдыха в микрорайоне «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Стройпоселок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Гоголя </w:t>
            </w:r>
            <w:r w:rsidRPr="004B5938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от перекрестка с ул. Кирова, до перекрестка с ул. Милицейской</w:t>
            </w:r>
            <w:proofErr w:type="gramEnd"/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Тротуар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область, Верхнекамский район,</w:t>
            </w: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С.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Лойно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площадь у дома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62CC2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 </w:t>
            </w:r>
            <w:proofErr w:type="spellStart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3B48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Молодежная,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«Сквер лиственниц»  в заречной части города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второй этап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2024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62CC2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proofErr w:type="spellStart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площадь у церкви 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Покрова Пресвятой Богородицы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BB1D9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ул. Ленина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у церкви Покрова Пресвятой Богородицы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62CC2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50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proofErr w:type="gram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ул. Карла Маркса, д. 30-34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площадка между домами Карла Маркса, д. 30 и д. 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Кировская область, Верхнекамский район, г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пер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екресток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Сиреневый, д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Детская и спортивная площадка в микрорайоне «Светлый»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DB4AAF" w:rsidRPr="00D97AC7" w:rsidTr="00A4531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  <w:r w:rsidRPr="009012FE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*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rPr>
                <w:rFonts w:eastAsia="Times New Roman" w:cs="Times New Roman"/>
                <w:sz w:val="26"/>
                <w:szCs w:val="26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sz w:val="26"/>
                <w:szCs w:val="26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sz w:val="26"/>
                <w:szCs w:val="26"/>
              </w:rPr>
              <w:t>, ул</w:t>
            </w:r>
            <w:r>
              <w:rPr>
                <w:rFonts w:eastAsia="Times New Roman" w:cs="Times New Roman"/>
                <w:sz w:val="26"/>
                <w:szCs w:val="26"/>
              </w:rPr>
              <w:t>.</w:t>
            </w:r>
            <w:r w:rsidRPr="00D97AC7">
              <w:rPr>
                <w:rFonts w:eastAsia="Times New Roman" w:cs="Times New Roman"/>
                <w:sz w:val="26"/>
                <w:szCs w:val="26"/>
              </w:rPr>
              <w:t xml:space="preserve"> Мелиораторов, д. 16а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Детская площадка в микрорайоне «Торф»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97AC7"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</w:tr>
      <w:tr w:rsidR="00DB4AAF" w:rsidRPr="00D97AC7" w:rsidTr="00A45317">
        <w:trPr>
          <w:trHeight w:val="29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9012FE">
              <w:rPr>
                <w:rFonts w:eastAsia="Times New Roman" w:cs="Times New Roman"/>
                <w:sz w:val="26"/>
                <w:szCs w:val="26"/>
              </w:rPr>
              <w:t>202</w:t>
            </w:r>
            <w:r>
              <w:rPr>
                <w:rFonts w:eastAsia="Times New Roman" w:cs="Times New Roman"/>
                <w:sz w:val="26"/>
                <w:szCs w:val="26"/>
              </w:rPr>
              <w:t>8</w:t>
            </w:r>
            <w:r w:rsidRPr="009012FE">
              <w:rPr>
                <w:rFonts w:eastAsia="Times New Roman" w:cs="Times New Roman"/>
                <w:sz w:val="26"/>
                <w:szCs w:val="26"/>
              </w:rPr>
              <w:t xml:space="preserve"> * год</w:t>
            </w:r>
          </w:p>
        </w:tc>
      </w:tr>
      <w:tr w:rsidR="00DB4AAF" w:rsidRPr="00D97AC7" w:rsidTr="00A4531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62CC2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Кировская область, Верхнекамский район, г. </w:t>
            </w: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Набережная , 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Площадь РЦ Досуг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AF" w:rsidRPr="00D97AC7" w:rsidRDefault="00DB4AAF" w:rsidP="00A4531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</w:tr>
    </w:tbl>
    <w:p w:rsidR="00DB4AAF" w:rsidRDefault="00DB4AAF" w:rsidP="00DB4AAF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DB4AAF" w:rsidRDefault="00DB4AAF" w:rsidP="00DB4AAF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DB4AAF" w:rsidRPr="00BB1D92" w:rsidRDefault="00DB4AAF" w:rsidP="00DB4AAF">
      <w:pPr>
        <w:tabs>
          <w:tab w:val="left" w:pos="0"/>
        </w:tabs>
        <w:spacing w:after="0" w:line="240" w:lineRule="auto"/>
        <w:rPr>
          <w:rFonts w:eastAsia="Times New Roman" w:cs="Times New Roman"/>
          <w:color w:val="FF0000"/>
          <w:sz w:val="16"/>
          <w:szCs w:val="16"/>
          <w:lang w:eastAsia="ru-RU"/>
        </w:rPr>
      </w:pPr>
      <w:r w:rsidRPr="00BB1D92">
        <w:rPr>
          <w:rFonts w:eastAsia="Times New Roman" w:cs="Times New Roman"/>
          <w:sz w:val="16"/>
          <w:szCs w:val="16"/>
          <w:lang w:eastAsia="ru-RU"/>
        </w:rPr>
        <w:t>*- данные общественные  территории включены планово на основании инвентаризации. На основании голосования на единой федеральной платформе в плановых периодах  могут быть сдвинуты на другой плановый период или исключены из списка на основании не поданных заявок и решения общественной комиссии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>.</w:t>
      </w:r>
      <w:r w:rsidRPr="00BB1D92">
        <w:rPr>
          <w:rFonts w:eastAsia="Times New Roman" w:cs="Times New Roman"/>
          <w:color w:val="FF0000"/>
          <w:sz w:val="20"/>
          <w:szCs w:val="20"/>
          <w:lang w:eastAsia="ru-RU"/>
        </w:rPr>
        <w:t xml:space="preserve"> </w:t>
      </w:r>
      <w:r w:rsidRPr="00BB1D92">
        <w:rPr>
          <w:rFonts w:eastAsia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6744F3" w:rsidRPr="00B44B87" w:rsidRDefault="006744F3" w:rsidP="006744F3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6744F3" w:rsidRPr="00B44B87" w:rsidRDefault="00DB4AAF" w:rsidP="006744F3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6</w:t>
      </w:r>
      <w:r w:rsidR="006744F3" w:rsidRPr="00B44B87">
        <w:rPr>
          <w:rFonts w:eastAsia="Calibri" w:cs="Times New Roman"/>
          <w:szCs w:val="28"/>
          <w:lang w:eastAsia="ru-RU"/>
        </w:rPr>
        <w:t>. Приложение № 12 к муниципальной программе «Сведения об объемах и источниках финансового обеспечения»  изложить в следующей редакции:</w:t>
      </w:r>
    </w:p>
    <w:p w:rsidR="006744F3" w:rsidRPr="00B44B87" w:rsidRDefault="006744F3" w:rsidP="006744F3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6744F3" w:rsidRPr="00B44B87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4344" w:type="dxa"/>
        <w:tblInd w:w="93" w:type="dxa"/>
        <w:tblLook w:val="04A0" w:firstRow="1" w:lastRow="0" w:firstColumn="1" w:lastColumn="0" w:noHBand="0" w:noVBand="1"/>
      </w:tblPr>
      <w:tblGrid>
        <w:gridCol w:w="857"/>
        <w:gridCol w:w="2089"/>
        <w:gridCol w:w="2460"/>
        <w:gridCol w:w="903"/>
        <w:gridCol w:w="903"/>
        <w:gridCol w:w="966"/>
        <w:gridCol w:w="828"/>
        <w:gridCol w:w="828"/>
        <w:gridCol w:w="835"/>
        <w:gridCol w:w="828"/>
        <w:gridCol w:w="828"/>
        <w:gridCol w:w="828"/>
        <w:gridCol w:w="1191"/>
      </w:tblGrid>
      <w:tr w:rsidR="00815617" w:rsidTr="00815617">
        <w:trPr>
          <w:trHeight w:val="1260"/>
        </w:trPr>
        <w:tc>
          <w:tcPr>
            <w:tcW w:w="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89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Расходы, тыс. рублей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итого</w:t>
            </w:r>
          </w:p>
        </w:tc>
      </w:tr>
      <w:tr w:rsidR="00815617" w:rsidTr="00815617">
        <w:trPr>
          <w:trHeight w:val="345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8282,22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5909,28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5389,10*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463A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19581,13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4725,27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5639,63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5281,85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 w:rsidP="000852A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15646,</w:t>
            </w:r>
            <w:r w:rsidR="000852AD">
              <w:rPr>
                <w:b/>
                <w:bCs/>
                <w:color w:val="000000"/>
                <w:sz w:val="26"/>
                <w:szCs w:val="26"/>
              </w:rPr>
              <w:t>75</w:t>
            </w:r>
          </w:p>
        </w:tc>
      </w:tr>
      <w:tr w:rsidR="00815617" w:rsidTr="00815617">
        <w:trPr>
          <w:trHeight w:val="31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4725,27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5639,63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5281,85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 w:rsidP="000852A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15646,</w:t>
            </w:r>
            <w:r w:rsidR="000852AD">
              <w:rPr>
                <w:color w:val="000000"/>
                <w:sz w:val="26"/>
                <w:szCs w:val="26"/>
              </w:rPr>
              <w:t>75</w:t>
            </w:r>
          </w:p>
        </w:tc>
      </w:tr>
      <w:tr w:rsidR="00815617" w:rsidTr="00815617">
        <w:trPr>
          <w:trHeight w:val="45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2356,33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2466,65</w:t>
            </w:r>
          </w:p>
        </w:tc>
      </w:tr>
      <w:tr w:rsidR="00815617" w:rsidTr="00815617">
        <w:trPr>
          <w:trHeight w:val="4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2356,33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2466,65</w:t>
            </w:r>
          </w:p>
        </w:tc>
      </w:tr>
      <w:tr w:rsidR="00815617" w:rsidTr="00815617">
        <w:trPr>
          <w:trHeight w:val="51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1181,83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177,54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1413,27</w:t>
            </w:r>
          </w:p>
        </w:tc>
      </w:tr>
      <w:tr w:rsidR="00815617" w:rsidTr="00815617">
        <w:trPr>
          <w:trHeight w:val="34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1181,83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177,54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1413,27</w:t>
            </w:r>
          </w:p>
        </w:tc>
      </w:tr>
      <w:tr w:rsidR="00815617" w:rsidTr="00815617">
        <w:trPr>
          <w:trHeight w:val="7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 w:rsidP="00463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</w:t>
            </w:r>
            <w:r w:rsidR="00463AB8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463A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54,46</w:t>
            </w:r>
          </w:p>
        </w:tc>
      </w:tr>
      <w:tr w:rsidR="00815617" w:rsidTr="00815617">
        <w:trPr>
          <w:trHeight w:val="28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 w:rsidP="00463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</w:t>
            </w:r>
            <w:r w:rsidR="00463AB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463AB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54,46</w:t>
            </w:r>
          </w:p>
        </w:tc>
      </w:tr>
      <w:tr w:rsidR="00815617" w:rsidTr="00815617">
        <w:trPr>
          <w:trHeight w:val="495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Отдельное мероприятие: Благоустройство дворовых территорий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1377,34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1926,62</w:t>
            </w:r>
          </w:p>
        </w:tc>
      </w:tr>
      <w:tr w:rsidR="00815617" w:rsidTr="00815617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3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1377,34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274,63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1926,62</w:t>
            </w:r>
          </w:p>
        </w:tc>
      </w:tr>
      <w:tr w:rsidR="00815617" w:rsidTr="00815617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69081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9081D">
              <w:rPr>
                <w:b/>
                <w:bCs/>
                <w:color w:val="000000"/>
                <w:sz w:val="26"/>
                <w:szCs w:val="26"/>
              </w:rPr>
              <w:t>19,49</w:t>
            </w:r>
          </w:p>
        </w:tc>
      </w:tr>
      <w:tr w:rsidR="00815617" w:rsidTr="00815617">
        <w:trPr>
          <w:trHeight w:val="4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6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19,49</w:t>
            </w:r>
          </w:p>
        </w:tc>
      </w:tr>
      <w:tr w:rsidR="00815617" w:rsidTr="00815617">
        <w:trPr>
          <w:trHeight w:val="49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358,52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385,37</w:t>
            </w:r>
          </w:p>
        </w:tc>
      </w:tr>
      <w:tr w:rsidR="00815617" w:rsidTr="00815617">
        <w:trPr>
          <w:trHeight w:val="4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11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358,52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385,37</w:t>
            </w:r>
          </w:p>
        </w:tc>
      </w:tr>
      <w:tr w:rsidR="00815617" w:rsidTr="00815617">
        <w:trPr>
          <w:trHeight w:val="64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 w:rsidP="00463A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</w:t>
            </w:r>
            <w:r w:rsidR="00463AB8"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463A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54,46</w:t>
            </w:r>
          </w:p>
        </w:tc>
      </w:tr>
      <w:tr w:rsidR="00815617" w:rsidTr="00815617">
        <w:trPr>
          <w:trHeight w:val="33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7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 w:rsidP="00463A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</w:t>
            </w:r>
            <w:r w:rsidR="00463AB8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463AB8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54,46</w:t>
            </w:r>
          </w:p>
        </w:tc>
      </w:tr>
      <w:tr w:rsidR="00815617" w:rsidTr="00815617">
        <w:trPr>
          <w:trHeight w:val="450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мероприятие: </w:t>
            </w:r>
            <w:r>
              <w:rPr>
                <w:color w:val="000000"/>
                <w:sz w:val="26"/>
                <w:szCs w:val="26"/>
              </w:rPr>
              <w:lastRenderedPageBreak/>
              <w:t>Судебные расходы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федеральный </w:t>
            </w:r>
            <w:r>
              <w:rPr>
                <w:b/>
                <w:bCs/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6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11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6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55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331,36</w:t>
            </w:r>
          </w:p>
        </w:tc>
      </w:tr>
      <w:tr w:rsidR="00815617" w:rsidTr="00815617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8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331,36</w:t>
            </w:r>
          </w:p>
        </w:tc>
      </w:tr>
      <w:tr w:rsidR="00815617" w:rsidTr="00815617">
        <w:trPr>
          <w:trHeight w:val="7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9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525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1.1.2.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мероприятие: пени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11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7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8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24,36</w:t>
            </w:r>
          </w:p>
        </w:tc>
      </w:tr>
      <w:tr w:rsidR="00815617" w:rsidTr="00815617">
        <w:trPr>
          <w:trHeight w:val="33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6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24,36</w:t>
            </w:r>
          </w:p>
        </w:tc>
      </w:tr>
      <w:tr w:rsidR="00815617" w:rsidTr="00815617">
        <w:trPr>
          <w:trHeight w:val="6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3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05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Отдельное мероприятие: Благоустройство общественных территорий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4262,29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5007,22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13720,1</w:t>
            </w:r>
          </w:p>
        </w:tc>
      </w:tr>
      <w:tr w:rsidR="00815617" w:rsidTr="00815617">
        <w:trPr>
          <w:trHeight w:val="36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3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4262,29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5007,22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13720,1</w:t>
            </w:r>
          </w:p>
        </w:tc>
      </w:tr>
      <w:tr w:rsidR="00815617" w:rsidTr="00815617">
        <w:trPr>
          <w:trHeight w:val="4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2353,56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2447,16</w:t>
            </w:r>
          </w:p>
        </w:tc>
      </w:tr>
      <w:tr w:rsidR="00815617" w:rsidTr="00815617">
        <w:trPr>
          <w:trHeight w:val="34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5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2353,56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2447,16</w:t>
            </w:r>
          </w:p>
        </w:tc>
      </w:tr>
      <w:tr w:rsidR="00815617" w:rsidTr="00815617">
        <w:trPr>
          <w:trHeight w:val="34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730,53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835,12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6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730,53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53,49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1164,45</w:t>
            </w:r>
          </w:p>
        </w:tc>
      </w:tr>
      <w:tr w:rsidR="00815617" w:rsidTr="00815617">
        <w:trPr>
          <w:trHeight w:val="63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4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2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65"/>
        </w:trPr>
        <w:tc>
          <w:tcPr>
            <w:tcW w:w="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мероприятие: строительный контроль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0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4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197,75</w:t>
            </w:r>
          </w:p>
        </w:tc>
      </w:tr>
      <w:tr w:rsidR="00815617" w:rsidTr="00815617">
        <w:trPr>
          <w:trHeight w:val="40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9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197,75</w:t>
            </w:r>
          </w:p>
        </w:tc>
      </w:tr>
      <w:tr w:rsidR="00815617" w:rsidTr="00815617">
        <w:trPr>
          <w:trHeight w:val="690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3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75"/>
        </w:trPr>
        <w:tc>
          <w:tcPr>
            <w:tcW w:w="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3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0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90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7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7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140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90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местный бюджет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43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97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70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Внебюджетные источники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815617" w:rsidTr="00815617">
        <w:trPr>
          <w:trHeight w:val="375"/>
        </w:trPr>
        <w:tc>
          <w:tcPr>
            <w:tcW w:w="8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815617" w:rsidTr="00815617">
        <w:trPr>
          <w:trHeight w:val="1080"/>
        </w:trPr>
        <w:tc>
          <w:tcPr>
            <w:tcW w:w="85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 </w:t>
            </w: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администрация Верхнекамского муниципального округа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617" w:rsidRDefault="0081561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6744F3" w:rsidRPr="00B44B87" w:rsidRDefault="006744F3" w:rsidP="006744F3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B44B87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p w:rsidR="009012FE" w:rsidRPr="00D97AC7" w:rsidRDefault="009012FE" w:rsidP="002D53E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9012FE" w:rsidRDefault="009012FE" w:rsidP="00DB4AAF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b/>
          <w:szCs w:val="28"/>
          <w:lang w:eastAsia="ar-SA"/>
        </w:rPr>
      </w:pPr>
      <w:r>
        <w:rPr>
          <w:rFonts w:eastAsia="Calibri" w:cs="Times New Roman"/>
          <w:szCs w:val="28"/>
          <w:lang w:eastAsia="ru-RU"/>
        </w:rPr>
        <w:tab/>
      </w:r>
    </w:p>
    <w:p w:rsidR="007B0740" w:rsidRPr="00D97AC7" w:rsidRDefault="00DA4258" w:rsidP="00DA4258">
      <w:pPr>
        <w:spacing w:after="0" w:line="240" w:lineRule="auto"/>
        <w:ind w:left="-284" w:firstLine="284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___________________________</w:t>
      </w:r>
    </w:p>
    <w:sectPr w:rsidR="007B0740" w:rsidRPr="00D97AC7" w:rsidSect="00DB4AAF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2AD"/>
    <w:rsid w:val="000856DB"/>
    <w:rsid w:val="000A406A"/>
    <w:rsid w:val="000D3553"/>
    <w:rsid w:val="000E566F"/>
    <w:rsid w:val="001045A5"/>
    <w:rsid w:val="00162F49"/>
    <w:rsid w:val="00167D1D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D53E6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2744"/>
    <w:rsid w:val="00445F0D"/>
    <w:rsid w:val="00463AB8"/>
    <w:rsid w:val="0047545B"/>
    <w:rsid w:val="00493446"/>
    <w:rsid w:val="004A0502"/>
    <w:rsid w:val="004B5938"/>
    <w:rsid w:val="00524CB1"/>
    <w:rsid w:val="00534608"/>
    <w:rsid w:val="00544E99"/>
    <w:rsid w:val="00547E9F"/>
    <w:rsid w:val="00551682"/>
    <w:rsid w:val="005A520B"/>
    <w:rsid w:val="005A7C18"/>
    <w:rsid w:val="005A7D9E"/>
    <w:rsid w:val="005C70FF"/>
    <w:rsid w:val="005D5CDE"/>
    <w:rsid w:val="005F28EF"/>
    <w:rsid w:val="00613B71"/>
    <w:rsid w:val="0063180A"/>
    <w:rsid w:val="00650102"/>
    <w:rsid w:val="006744F3"/>
    <w:rsid w:val="006824BC"/>
    <w:rsid w:val="0069081D"/>
    <w:rsid w:val="0076079E"/>
    <w:rsid w:val="007628AA"/>
    <w:rsid w:val="00771B7C"/>
    <w:rsid w:val="007964EA"/>
    <w:rsid w:val="007B0740"/>
    <w:rsid w:val="007C199D"/>
    <w:rsid w:val="007F4297"/>
    <w:rsid w:val="00815617"/>
    <w:rsid w:val="00821E18"/>
    <w:rsid w:val="008725C4"/>
    <w:rsid w:val="008757BF"/>
    <w:rsid w:val="008C148F"/>
    <w:rsid w:val="008E7037"/>
    <w:rsid w:val="008F4A1E"/>
    <w:rsid w:val="009012FE"/>
    <w:rsid w:val="00953CD2"/>
    <w:rsid w:val="009B03FA"/>
    <w:rsid w:val="009B2FD7"/>
    <w:rsid w:val="009B53DB"/>
    <w:rsid w:val="009D0CCC"/>
    <w:rsid w:val="00A12F51"/>
    <w:rsid w:val="00A40310"/>
    <w:rsid w:val="00A45317"/>
    <w:rsid w:val="00A5014F"/>
    <w:rsid w:val="00A61F3B"/>
    <w:rsid w:val="00A62150"/>
    <w:rsid w:val="00A67CF7"/>
    <w:rsid w:val="00A72965"/>
    <w:rsid w:val="00A74EAE"/>
    <w:rsid w:val="00A9543E"/>
    <w:rsid w:val="00AB02A8"/>
    <w:rsid w:val="00AC13A1"/>
    <w:rsid w:val="00AC5D15"/>
    <w:rsid w:val="00AD2AEE"/>
    <w:rsid w:val="00AD78EE"/>
    <w:rsid w:val="00AE7DEF"/>
    <w:rsid w:val="00AF0BCE"/>
    <w:rsid w:val="00AF14F3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80970"/>
    <w:rsid w:val="00CF2C21"/>
    <w:rsid w:val="00D0486A"/>
    <w:rsid w:val="00D33D3F"/>
    <w:rsid w:val="00D62CC2"/>
    <w:rsid w:val="00D87828"/>
    <w:rsid w:val="00D97AC7"/>
    <w:rsid w:val="00DA4258"/>
    <w:rsid w:val="00DB4AAF"/>
    <w:rsid w:val="00DC7040"/>
    <w:rsid w:val="00DC759A"/>
    <w:rsid w:val="00DD02D0"/>
    <w:rsid w:val="00E13566"/>
    <w:rsid w:val="00E14C9A"/>
    <w:rsid w:val="00E25B8A"/>
    <w:rsid w:val="00E32879"/>
    <w:rsid w:val="00E619F7"/>
    <w:rsid w:val="00E70AA2"/>
    <w:rsid w:val="00E7759A"/>
    <w:rsid w:val="00EA1483"/>
    <w:rsid w:val="00EA51F7"/>
    <w:rsid w:val="00EB5DCA"/>
    <w:rsid w:val="00ED0B1E"/>
    <w:rsid w:val="00ED7170"/>
    <w:rsid w:val="00EE2E6A"/>
    <w:rsid w:val="00EE3FFD"/>
    <w:rsid w:val="00EE412C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F14F3"/>
  </w:style>
  <w:style w:type="numbering" w:customStyle="1" w:styleId="31">
    <w:name w:val="Нет списка3"/>
    <w:next w:val="a2"/>
    <w:uiPriority w:val="99"/>
    <w:semiHidden/>
    <w:unhideWhenUsed/>
    <w:rsid w:val="0081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cp:lastPrinted>2023-08-29T05:42:00Z</cp:lastPrinted>
  <dcterms:created xsi:type="dcterms:W3CDTF">2023-08-21T14:02:00Z</dcterms:created>
  <dcterms:modified xsi:type="dcterms:W3CDTF">2023-09-27T13:27:00Z</dcterms:modified>
</cp:coreProperties>
</file>