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№1986, от 26.01.2023 №115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</w:t>
      </w:r>
      <w:bookmarkStart w:id="0" w:name="_GoBack"/>
      <w:bookmarkEnd w:id="0"/>
      <w:r w:rsidRPr="009D0CCC">
        <w:rPr>
          <w:rFonts w:eastAsia="Calibri" w:cs="Times New Roman"/>
          <w:b/>
          <w:szCs w:val="28"/>
          <w:lang w:eastAsia="ar-SA"/>
        </w:rPr>
        <w:t>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012FE" w:rsidRDefault="009012FE" w:rsidP="00901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9012FE" w:rsidRPr="00EA1483" w:rsidRDefault="009012FE" w:rsidP="009012FE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9012FE" w:rsidRPr="00D97AC7" w:rsidTr="006B2314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012FE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площадь у церкви Покрова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Пресвятой Богородицы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50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9012FE" w:rsidRPr="00D97AC7" w:rsidRDefault="009012FE" w:rsidP="009012FE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9012FE" w:rsidRDefault="009012FE" w:rsidP="009012FE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2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B1D92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</w:t>
            </w:r>
            <w:r w:rsidR="00BB1D9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E619F7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85156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8B50C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044FD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9012FE" w:rsidRPr="00D97AC7" w:rsidTr="00BB1D92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012FE">
              <w:rPr>
                <w:rFonts w:eastAsia="Times New Roman" w:cs="Times New Roman"/>
                <w:sz w:val="26"/>
                <w:szCs w:val="26"/>
              </w:rPr>
              <w:t>2027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BB1D92"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ул. Ленина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P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  <w:r w:rsidRPr="00BB1D92">
        <w:rPr>
          <w:rFonts w:eastAsia="Times New Roman" w:cs="Times New Roman"/>
          <w:sz w:val="16"/>
          <w:szCs w:val="16"/>
          <w:lang w:eastAsia="ru-RU"/>
        </w:rPr>
        <w:t>*- данные общественные  территории включены планово на основании инвентаризации. На основании голосования на единой федеральной платформе в плановых периодах  могут быть сдвинуты на другой плановый период или исключены из списка на основании не поданных заявок и решения общественной комиссии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>.</w:t>
      </w:r>
      <w:r w:rsidRPr="00BB1D92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9012FE" w:rsidRDefault="009012FE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sectPr w:rsidR="007B0740" w:rsidRPr="00D97AC7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8F4A1E"/>
    <w:rsid w:val="009012FE"/>
    <w:rsid w:val="00953CD2"/>
    <w:rsid w:val="009B03FA"/>
    <w:rsid w:val="009B2FD7"/>
    <w:rsid w:val="009B53DB"/>
    <w:rsid w:val="009D0CCC"/>
    <w:rsid w:val="00A12F51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2023-02-08T08:26:00Z</cp:lastPrinted>
  <dcterms:created xsi:type="dcterms:W3CDTF">2023-02-08T08:20:00Z</dcterms:created>
  <dcterms:modified xsi:type="dcterms:W3CDTF">2023-02-08T08:28:00Z</dcterms:modified>
</cp:coreProperties>
</file>