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816" w:rsidRPr="007E3816" w:rsidRDefault="007E3816" w:rsidP="00C02AB4">
      <w:pPr>
        <w:jc w:val="center"/>
        <w:rPr>
          <w:szCs w:val="28"/>
        </w:rPr>
      </w:pPr>
      <w:r>
        <w:rPr>
          <w:szCs w:val="28"/>
        </w:rPr>
        <w:t xml:space="preserve">Замечания и предложения направляются на эл почту </w:t>
      </w:r>
      <w:hyperlink r:id="rId7" w:history="1">
        <w:r w:rsidRPr="00431AD6">
          <w:rPr>
            <w:rStyle w:val="af5"/>
            <w:szCs w:val="28"/>
          </w:rPr>
          <w:t>gradverhmo@mail.ru</w:t>
        </w:r>
      </w:hyperlink>
      <w:r>
        <w:rPr>
          <w:szCs w:val="28"/>
        </w:rPr>
        <w:t xml:space="preserve"> или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тел 2-30-33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 Верхнекамского</w:t>
      </w:r>
      <w:bookmarkStart w:id="0" w:name="_GoBack"/>
      <w:r w:rsidRPr="008725C4">
        <w:rPr>
          <w:rFonts w:eastAsia="Times New Roman" w:cs="Times New Roman"/>
          <w:b/>
          <w:szCs w:val="28"/>
          <w:lang w:eastAsia="ru-RU"/>
        </w:rPr>
        <w:t xml:space="preserve"> </w:t>
      </w:r>
      <w:bookmarkEnd w:id="0"/>
      <w:r w:rsidRPr="008725C4">
        <w:rPr>
          <w:rFonts w:eastAsia="Times New Roman" w:cs="Times New Roman"/>
          <w:b/>
          <w:szCs w:val="28"/>
          <w:lang w:eastAsia="ru-RU"/>
        </w:rPr>
        <w:t xml:space="preserve">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544E99">
        <w:rPr>
          <w:rFonts w:eastAsia="Times New Roman" w:cs="Times New Roman"/>
          <w:b/>
          <w:szCs w:val="28"/>
          <w:lang w:eastAsia="ru-RU"/>
        </w:rPr>
        <w:t xml:space="preserve">( </w:t>
      </w:r>
      <w:proofErr w:type="gramEnd"/>
      <w:r w:rsidR="00544E99">
        <w:rPr>
          <w:rFonts w:eastAsia="Times New Roman" w:cs="Times New Roman"/>
          <w:b/>
          <w:szCs w:val="28"/>
          <w:lang w:eastAsia="ru-RU"/>
        </w:rPr>
        <w:t>с изм. от 28.02.2022 №277)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631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 в муниципальную программу Верхнекамского муниципального округа Кировской области «Формирование современной городской среды» (далее – Муниципальная программа), утвержденную постановлением администрации Верхнекамского района от 25.11.2021 № 812 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3659B2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Pr="008725C4">
              <w:rPr>
                <w:szCs w:val="28"/>
              </w:rPr>
              <w:t>Олин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</w:t>
      </w:r>
      <w:r w:rsidR="00EE3FFD">
        <w:rPr>
          <w:szCs w:val="28"/>
        </w:rPr>
        <w:t xml:space="preserve"> </w:t>
      </w:r>
      <w:r>
        <w:rPr>
          <w:szCs w:val="28"/>
        </w:rPr>
        <w:t xml:space="preserve">     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BF759D" w:rsidRPr="008725C4" w:rsidRDefault="00BF759D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BF759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17274,14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 163,41 тыс. рублей,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BF759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913,95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рублей, 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18</w:t>
            </w:r>
            <w:r w:rsidRPr="009D0CCC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D97AC7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ar-SA"/>
              </w:rPr>
              <w:t>2022*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4 725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6 087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5 365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0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163, 41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47, 73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61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D97AC7" w:rsidRDefault="00BF759D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913,95</w:t>
            </w:r>
          </w:p>
        </w:tc>
        <w:tc>
          <w:tcPr>
            <w:tcW w:w="1701" w:type="dxa"/>
            <w:vAlign w:val="center"/>
          </w:tcPr>
          <w:p w:rsidR="00D97AC7" w:rsidRPr="00BF759D" w:rsidRDefault="00BF759D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796,95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62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54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>18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,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val="en-US" w:eastAsia="ar-SA"/>
              </w:rPr>
              <w:t xml:space="preserve"> 7</w:t>
            </w: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 w:rsidR="00BF759D"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D97AC7" w:rsidRPr="00D97AC7" w:rsidRDefault="00D97AC7" w:rsidP="00D97AC7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D97AC7" w:rsidRPr="00D97AC7" w:rsidTr="00EE3FFD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% износа дворовой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по результатам инвентаризации по состоянию на 01.10.2021г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343D9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D9" w:rsidRPr="00D97AC7" w:rsidRDefault="00F343D9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F343D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Заводская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пер. Сиреневый, д2а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BF759D" w:rsidRPr="00D97AC7" w:rsidTr="00EE3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тротуар ул. Гоголя от перекрестка ул. Кирова, до перекрестка ул. К. Маркса.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D97AC7" w:rsidRPr="00D97AC7" w:rsidRDefault="00D97AC7" w:rsidP="00D97AC7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2021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 w:rsidR="00A74EA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Заводская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2A71D0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BF759D" w:rsidP="00B549BF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тротуар ул. Гоголя от перекрестка ул. Кирова, до перекрестка ул. К. Маркса.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D0" w:rsidRPr="00D97AC7" w:rsidRDefault="002A71D0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D97AC7" w:rsidRPr="00D97AC7" w:rsidTr="00D97AC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A74EAE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C7" w:rsidRPr="00D97AC7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BF759D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Default="00BF759D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BF759D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Default="00BF759D" w:rsidP="00F343D9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Молодежная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9D" w:rsidRPr="00D97AC7" w:rsidRDefault="00BF759D" w:rsidP="00BF75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97AC7" w:rsidRPr="00D97AC7" w:rsidTr="00D97A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A74EAE" w:rsidP="00BF759D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F759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7" w:rsidRPr="00D97AC7" w:rsidRDefault="00D97AC7" w:rsidP="00D97A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D97AC7" w:rsidRPr="008725C4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725C4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:rsidR="00544E99" w:rsidRDefault="00544E99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5. </w:t>
      </w:r>
      <w:r w:rsidRPr="00544E99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544E99">
        <w:rPr>
          <w:rFonts w:eastAsia="Calibri" w:cs="Times New Roman"/>
          <w:szCs w:val="28"/>
          <w:lang w:eastAsia="ru-RU"/>
        </w:rPr>
        <w:t xml:space="preserve"> к муниципальной программе</w:t>
      </w:r>
      <w:r w:rsidRPr="00544E99">
        <w:t xml:space="preserve"> </w:t>
      </w:r>
      <w:r>
        <w:t>«</w:t>
      </w:r>
      <w:r w:rsidRPr="00544E99">
        <w:rPr>
          <w:rFonts w:eastAsia="Calibri" w:cs="Times New Roman"/>
          <w:szCs w:val="28"/>
          <w:lang w:eastAsia="ru-RU"/>
        </w:rPr>
        <w:t>Сведения о целевых показателях муниципальной программы «Формирование современной городской среды на 2022-2024 гг.»</w:t>
      </w:r>
      <w:r w:rsidRPr="00544E99">
        <w:t xml:space="preserve"> </w:t>
      </w:r>
      <w:r w:rsidRPr="00544E99">
        <w:rPr>
          <w:rFonts w:eastAsia="Calibri" w:cs="Times New Roman"/>
          <w:szCs w:val="28"/>
          <w:lang w:eastAsia="ru-RU"/>
        </w:rPr>
        <w:t xml:space="preserve">изложить в следующей редакции:  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7"/>
        <w:gridCol w:w="1419"/>
        <w:gridCol w:w="1276"/>
        <w:gridCol w:w="1134"/>
        <w:gridCol w:w="1134"/>
        <w:gridCol w:w="1418"/>
      </w:tblGrid>
      <w:tr w:rsidR="00544E99" w:rsidRPr="00544E99" w:rsidTr="00C84F79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программы, подпрограммы,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мероприятия,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rPr>
          <w:trHeight w:val="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544E99" w:rsidRPr="00544E99" w:rsidTr="00C84F79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Программа «Формирование современной городской среды»  на 2022-2024 годы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99" w:rsidRPr="00544E99" w:rsidRDefault="00544E99" w:rsidP="00544E9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благоустроенных дворовых территорий в текущем году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(нарастающим итогом)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D0180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1D0180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44E99" w:rsidRPr="00544E99" w:rsidTr="00C84F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1D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4328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500**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9" w:rsidRPr="00544E99" w:rsidRDefault="001D0180" w:rsidP="0054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544E99" w:rsidRPr="00544E99">
              <w:rPr>
                <w:rFonts w:eastAsia="Times New Roman" w:cs="Times New Roman"/>
                <w:sz w:val="26"/>
                <w:szCs w:val="26"/>
                <w:lang w:eastAsia="ru-RU"/>
              </w:rPr>
              <w:t>512**</w:t>
            </w:r>
          </w:p>
        </w:tc>
      </w:tr>
    </w:tbl>
    <w:p w:rsidR="00544E99" w:rsidRPr="00544E99" w:rsidRDefault="00544E99" w:rsidP="00544E99">
      <w:pPr>
        <w:spacing w:after="0" w:line="228" w:lineRule="auto"/>
        <w:ind w:firstLine="567"/>
        <w:jc w:val="both"/>
        <w:rPr>
          <w:rFonts w:eastAsia="Times New Roman" w:cs="Times New Roman"/>
          <w:bCs/>
          <w:sz w:val="26"/>
          <w:szCs w:val="26"/>
        </w:rPr>
      </w:pP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  <w:r w:rsidRPr="00544E99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544E99">
        <w:rPr>
          <w:rFonts w:eastAsia="Times New Roman" w:cs="Times New Roman"/>
          <w:sz w:val="16"/>
          <w:szCs w:val="16"/>
          <w:lang w:eastAsia="ru-RU"/>
        </w:rPr>
        <w:t>*- с учетом реализации мероприятий в рамках федерального проекта «Комфортная городская среда»  с 2017 года.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544E99">
        <w:rPr>
          <w:rFonts w:eastAsia="Times New Roman" w:cs="Times New Roman"/>
          <w:sz w:val="16"/>
          <w:szCs w:val="16"/>
          <w:lang w:eastAsia="ru-RU"/>
        </w:rPr>
        <w:t xml:space="preserve">**- показатель рассчитывается на основании доли </w:t>
      </w:r>
      <w:proofErr w:type="gramStart"/>
      <w:r w:rsidRPr="00544E99">
        <w:rPr>
          <w:rFonts w:eastAsia="Times New Roman" w:cs="Times New Roman"/>
          <w:sz w:val="16"/>
          <w:szCs w:val="16"/>
          <w:lang w:eastAsia="ru-RU"/>
        </w:rPr>
        <w:t>привлеченных</w:t>
      </w:r>
      <w:proofErr w:type="gramEnd"/>
      <w:r w:rsidRPr="00544E99">
        <w:rPr>
          <w:rFonts w:eastAsia="Times New Roman" w:cs="Times New Roman"/>
          <w:sz w:val="16"/>
          <w:szCs w:val="16"/>
          <w:lang w:eastAsia="ru-RU"/>
        </w:rPr>
        <w:t xml:space="preserve"> в реализацию проекта за каждый год реализации отдельно на территории города, базовое значение указано фактическое количество проголосовавших на единой федеральной платформе в 2020 году на территории  </w:t>
      </w:r>
      <w:r w:rsidR="001D0180">
        <w:rPr>
          <w:rFonts w:eastAsia="Times New Roman" w:cs="Times New Roman"/>
          <w:sz w:val="16"/>
          <w:szCs w:val="16"/>
          <w:lang w:eastAsia="ru-RU"/>
        </w:rPr>
        <w:t>района.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276"/>
        <w:gridCol w:w="1276"/>
        <w:gridCol w:w="1276"/>
        <w:gridCol w:w="1133"/>
      </w:tblGrid>
      <w:tr w:rsidR="00EE3FFD" w:rsidRPr="00EE3FFD" w:rsidTr="00EE3FFD">
        <w:trPr>
          <w:trHeight w:val="893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EE3FFD" w:rsidRPr="00EE3FFD" w:rsidTr="00EE3FFD">
        <w:trPr>
          <w:trHeight w:val="893"/>
        </w:trPr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</w:tr>
      <w:tr w:rsidR="00EE3FFD" w:rsidRPr="00EE3FFD" w:rsidTr="00EE3FF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Муниципальная программа 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BF759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5588,74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3FFD" w:rsidRPr="00EE3FFD" w:rsidRDefault="00544E99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17274,14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47,73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BF759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796,95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BF759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796,95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717,49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D0B1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</w:t>
            </w:r>
            <w:r w:rsidR="00ED0B1E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D0B1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</w:t>
            </w:r>
            <w:r w:rsidR="00ED0B1E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823,89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8,40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56,37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D0B1E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4450,6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4450,6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15375,96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областной </w:t>
            </w: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lastRenderedPageBreak/>
              <w:t>44,96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44,96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133,18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794,15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D0B1E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794,15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709,10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EE3FFD" w:rsidRPr="00EE3FFD" w:rsidTr="00EE3FFD">
        <w:tc>
          <w:tcPr>
            <w:tcW w:w="534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3FFD" w:rsidRPr="00EE3FFD" w:rsidRDefault="00EE3FFD" w:rsidP="00EE3F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3FFD" w:rsidRPr="00EE3FFD" w:rsidRDefault="00EE3FFD" w:rsidP="00EE3FF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E3FFD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E3FFD" w:rsidRPr="00EE3FFD" w:rsidRDefault="00EE3FFD" w:rsidP="00EE3F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</w:pPr>
            <w:r w:rsidRPr="00EE3FFD">
              <w:rPr>
                <w:rFonts w:eastAsia="Times New Roman" w:cs="Times New Roman"/>
                <w:bCs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EE3FFD">
      <w:pPr>
        <w:suppressAutoHyphens/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E566F"/>
    <w:rsid w:val="001045A5"/>
    <w:rsid w:val="00167E78"/>
    <w:rsid w:val="001C5168"/>
    <w:rsid w:val="001D0180"/>
    <w:rsid w:val="002213D6"/>
    <w:rsid w:val="002360A9"/>
    <w:rsid w:val="0025104A"/>
    <w:rsid w:val="002A17C6"/>
    <w:rsid w:val="002A71D0"/>
    <w:rsid w:val="00334CBF"/>
    <w:rsid w:val="003659B2"/>
    <w:rsid w:val="003C0E99"/>
    <w:rsid w:val="003F1C28"/>
    <w:rsid w:val="00445F0D"/>
    <w:rsid w:val="00524CB1"/>
    <w:rsid w:val="00544E99"/>
    <w:rsid w:val="005A7D9E"/>
    <w:rsid w:val="005C70FF"/>
    <w:rsid w:val="005F28EF"/>
    <w:rsid w:val="0063180A"/>
    <w:rsid w:val="006824BC"/>
    <w:rsid w:val="00771B7C"/>
    <w:rsid w:val="007964EA"/>
    <w:rsid w:val="007E3816"/>
    <w:rsid w:val="007F4297"/>
    <w:rsid w:val="008725C4"/>
    <w:rsid w:val="008C148F"/>
    <w:rsid w:val="008E7037"/>
    <w:rsid w:val="00953CD2"/>
    <w:rsid w:val="009B2FD7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F2C21"/>
    <w:rsid w:val="00D0486A"/>
    <w:rsid w:val="00D33D3F"/>
    <w:rsid w:val="00D97AC7"/>
    <w:rsid w:val="00DC7040"/>
    <w:rsid w:val="00E13566"/>
    <w:rsid w:val="00E25B8A"/>
    <w:rsid w:val="00EA51F7"/>
    <w:rsid w:val="00EB5DCA"/>
    <w:rsid w:val="00ED0B1E"/>
    <w:rsid w:val="00EE2E6A"/>
    <w:rsid w:val="00EE3FFD"/>
    <w:rsid w:val="00EE62AE"/>
    <w:rsid w:val="00EF73DE"/>
    <w:rsid w:val="00F23C2F"/>
    <w:rsid w:val="00F343D9"/>
    <w:rsid w:val="00F4536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verh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2022-02-10T06:15:00Z</cp:lastPrinted>
  <dcterms:created xsi:type="dcterms:W3CDTF">2022-05-23T12:50:00Z</dcterms:created>
  <dcterms:modified xsi:type="dcterms:W3CDTF">2022-05-23T12:54:00Z</dcterms:modified>
</cp:coreProperties>
</file>