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1AEF4B" wp14:editId="685AD87A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9012FE">
        <w:rPr>
          <w:rFonts w:eastAsia="Times New Roman" w:cs="Times New Roman"/>
          <w:szCs w:val="28"/>
          <w:lang w:eastAsia="ar-SA"/>
        </w:rPr>
        <w:t>, от 29.12.2022 №1</w:t>
      </w:r>
      <w:r w:rsidR="000A406A">
        <w:rPr>
          <w:rFonts w:eastAsia="Times New Roman" w:cs="Times New Roman"/>
          <w:szCs w:val="28"/>
          <w:lang w:eastAsia="ar-SA"/>
        </w:rPr>
        <w:t>89</w:t>
      </w:r>
      <w:r w:rsidR="009012FE">
        <w:rPr>
          <w:rFonts w:eastAsia="Times New Roman" w:cs="Times New Roman"/>
          <w:szCs w:val="28"/>
          <w:lang w:eastAsia="ar-SA"/>
        </w:rPr>
        <w:t>6, от 26.01.2023 №115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2360A9" w:rsidRPr="00A74EAE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9E2AC9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Е.Ю. Аммосова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9E2AC9" w:rsidRPr="009E2AC9" w:rsidRDefault="009E2AC9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9E2AC9">
        <w:rPr>
          <w:szCs w:val="28"/>
        </w:rPr>
        <w:t xml:space="preserve">Заместитель главы администрации </w:t>
      </w:r>
    </w:p>
    <w:p w:rsidR="009E2AC9" w:rsidRPr="009E2AC9" w:rsidRDefault="009E2AC9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9E2AC9">
        <w:rPr>
          <w:szCs w:val="28"/>
        </w:rPr>
        <w:t xml:space="preserve">муниципального округа </w:t>
      </w:r>
    </w:p>
    <w:p w:rsidR="009E2AC9" w:rsidRPr="009E2AC9" w:rsidRDefault="009E2AC9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9E2AC9">
        <w:rPr>
          <w:szCs w:val="28"/>
        </w:rPr>
        <w:t xml:space="preserve">по финансово-экономической политике, </w:t>
      </w:r>
    </w:p>
    <w:p w:rsidR="00D33D3F" w:rsidRDefault="009E2AC9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9E2AC9">
        <w:rPr>
          <w:szCs w:val="28"/>
        </w:rPr>
        <w:t>начальник финансового управления                                    С.И. Логинова</w:t>
      </w:r>
    </w:p>
    <w:p w:rsidR="00394C15" w:rsidRDefault="00394C15" w:rsidP="009E2AC9">
      <w:pPr>
        <w:tabs>
          <w:tab w:val="left" w:pos="6840"/>
        </w:tabs>
        <w:spacing w:after="0" w:line="240" w:lineRule="auto"/>
        <w:rPr>
          <w:szCs w:val="28"/>
        </w:rPr>
      </w:pPr>
    </w:p>
    <w:p w:rsidR="00394C15" w:rsidRDefault="00394C15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394C15">
        <w:rPr>
          <w:szCs w:val="28"/>
        </w:rPr>
        <w:t>заведующий сектором планирования</w:t>
      </w:r>
    </w:p>
    <w:p w:rsidR="00394C15" w:rsidRDefault="00394C15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394C15">
        <w:rPr>
          <w:szCs w:val="28"/>
        </w:rPr>
        <w:t>и информационного обеспечения</w:t>
      </w:r>
    </w:p>
    <w:p w:rsidR="00394C15" w:rsidRDefault="00394C15" w:rsidP="009E2AC9">
      <w:pPr>
        <w:tabs>
          <w:tab w:val="left" w:pos="6840"/>
        </w:tabs>
        <w:spacing w:after="0" w:line="240" w:lineRule="auto"/>
        <w:rPr>
          <w:szCs w:val="28"/>
        </w:rPr>
      </w:pPr>
      <w:r w:rsidRPr="00394C15">
        <w:rPr>
          <w:szCs w:val="28"/>
        </w:rPr>
        <w:t>экономики управления экономического развития</w:t>
      </w:r>
      <w:r>
        <w:rPr>
          <w:szCs w:val="28"/>
        </w:rPr>
        <w:t xml:space="preserve">             Т.Н. Костицына</w:t>
      </w:r>
      <w:bookmarkStart w:id="0" w:name="_GoBack"/>
      <w:bookmarkEnd w:id="0"/>
    </w:p>
    <w:p w:rsidR="009E2AC9" w:rsidRDefault="009E2AC9" w:rsidP="009E2AC9">
      <w:pPr>
        <w:tabs>
          <w:tab w:val="left" w:pos="6840"/>
        </w:tabs>
        <w:spacing w:after="0" w:line="240" w:lineRule="auto"/>
        <w:rPr>
          <w:szCs w:val="28"/>
        </w:rPr>
      </w:pPr>
    </w:p>
    <w:p w:rsidR="009E2AC9" w:rsidRPr="008725C4" w:rsidRDefault="009E2AC9" w:rsidP="009E2AC9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E41254" w:rsidRPr="00B44B87" w:rsidRDefault="00E41254" w:rsidP="00E41254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«Формирование современной городской среды»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E41254" w:rsidRPr="00B44B87" w:rsidTr="00E41254">
        <w:tc>
          <w:tcPr>
            <w:tcW w:w="2411" w:type="dxa"/>
          </w:tcPr>
          <w:p w:rsidR="00E41254" w:rsidRPr="00B44B87" w:rsidRDefault="00E41254" w:rsidP="00E4125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E41254" w:rsidRPr="00B44B87" w:rsidRDefault="00E41254" w:rsidP="00E4125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40A76">
              <w:rPr>
                <w:rFonts w:eastAsia="Times New Roman" w:cs="Times New Roman"/>
                <w:szCs w:val="28"/>
                <w:lang w:eastAsia="ru-RU"/>
              </w:rPr>
              <w:t>121563,39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тыс. руб., в том числе:</w:t>
            </w:r>
          </w:p>
          <w:p w:rsidR="00E41254" w:rsidRPr="00B44B87" w:rsidRDefault="00E41254" w:rsidP="00E4125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федеральный бюджет </w:t>
            </w:r>
            <w:r w:rsidR="00040A76">
              <w:rPr>
                <w:rFonts w:eastAsia="Times New Roman" w:cs="Times New Roman"/>
                <w:szCs w:val="28"/>
                <w:lang w:eastAsia="ru-RU"/>
              </w:rPr>
              <w:t>102357,32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>тыс. рублей,</w:t>
            </w:r>
          </w:p>
          <w:p w:rsidR="00E41254" w:rsidRPr="00B44B87" w:rsidRDefault="00E41254" w:rsidP="00E4125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  <w:r w:rsidR="00040A76">
              <w:rPr>
                <w:rFonts w:eastAsia="Times New Roman" w:cs="Times New Roman"/>
                <w:szCs w:val="28"/>
                <w:lang w:eastAsia="ru-RU"/>
              </w:rPr>
              <w:t>14256,08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тыс. рублей,</w:t>
            </w:r>
          </w:p>
          <w:p w:rsidR="00E41254" w:rsidRPr="00B44B87" w:rsidRDefault="00E41254" w:rsidP="00E4125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бюджет муниципального округа </w:t>
            </w:r>
            <w:r w:rsidR="00040A76">
              <w:rPr>
                <w:rFonts w:eastAsia="Times New Roman" w:cs="Times New Roman"/>
                <w:szCs w:val="28"/>
                <w:lang w:eastAsia="ru-RU"/>
              </w:rPr>
              <w:t>4896,06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тыс. рублей, </w:t>
            </w:r>
          </w:p>
          <w:p w:rsidR="00E41254" w:rsidRPr="00B44B87" w:rsidRDefault="00E41254" w:rsidP="00040A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внебюджетные источники </w:t>
            </w:r>
            <w:r w:rsidR="00040A76">
              <w:rPr>
                <w:rFonts w:eastAsia="Times New Roman" w:cs="Times New Roman"/>
                <w:szCs w:val="28"/>
                <w:lang w:eastAsia="ru-RU"/>
              </w:rPr>
              <w:t>53,93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тыс. рублей</w:t>
            </w:r>
          </w:p>
        </w:tc>
      </w:tr>
    </w:tbl>
    <w:p w:rsidR="00E41254" w:rsidRPr="00B44B87" w:rsidRDefault="00E41254" w:rsidP="00E41254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E41254" w:rsidRPr="00B44B87" w:rsidRDefault="00780EC5" w:rsidP="00E41254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E41254" w:rsidRPr="00B44B87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E41254" w:rsidRDefault="00E41254" w:rsidP="00E41254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992"/>
        <w:gridCol w:w="992"/>
        <w:gridCol w:w="993"/>
        <w:gridCol w:w="992"/>
        <w:gridCol w:w="992"/>
        <w:gridCol w:w="567"/>
        <w:gridCol w:w="568"/>
        <w:gridCol w:w="566"/>
      </w:tblGrid>
      <w:tr w:rsidR="00040A76" w:rsidRPr="00040A76" w:rsidTr="00DC4857">
        <w:trPr>
          <w:cantSplit/>
          <w:trHeight w:val="251"/>
        </w:trPr>
        <w:tc>
          <w:tcPr>
            <w:tcW w:w="993" w:type="dxa"/>
            <w:vMerge w:val="restart"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40A76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8788" w:type="dxa"/>
            <w:gridSpan w:val="10"/>
          </w:tcPr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40A76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40A76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040A76" w:rsidRPr="00040A76" w:rsidTr="009E2AC9">
        <w:trPr>
          <w:cantSplit/>
          <w:trHeight w:val="251"/>
        </w:trPr>
        <w:tc>
          <w:tcPr>
            <w:tcW w:w="993" w:type="dxa"/>
            <w:vMerge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40A76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654" w:type="dxa"/>
            <w:gridSpan w:val="9"/>
          </w:tcPr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40A76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040A76" w:rsidRPr="00040A76" w:rsidTr="009E2AC9">
        <w:trPr>
          <w:cantSplit/>
          <w:trHeight w:val="469"/>
        </w:trPr>
        <w:tc>
          <w:tcPr>
            <w:tcW w:w="993" w:type="dxa"/>
            <w:vMerge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40A76" w:rsidRPr="00040A76" w:rsidRDefault="00040A76" w:rsidP="00040A76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992" w:type="dxa"/>
          </w:tcPr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:rsidR="00040A76" w:rsidRPr="00040A76" w:rsidRDefault="00040A76" w:rsidP="0004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2025*</w:t>
            </w:r>
          </w:p>
        </w:tc>
        <w:tc>
          <w:tcPr>
            <w:tcW w:w="992" w:type="dxa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2026*</w:t>
            </w:r>
          </w:p>
        </w:tc>
        <w:tc>
          <w:tcPr>
            <w:tcW w:w="992" w:type="dxa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2027*</w:t>
            </w:r>
          </w:p>
        </w:tc>
        <w:tc>
          <w:tcPr>
            <w:tcW w:w="567" w:type="dxa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2028*</w:t>
            </w:r>
          </w:p>
        </w:tc>
        <w:tc>
          <w:tcPr>
            <w:tcW w:w="568" w:type="dxa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2029*</w:t>
            </w:r>
          </w:p>
        </w:tc>
        <w:tc>
          <w:tcPr>
            <w:tcW w:w="566" w:type="dxa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ar-SA"/>
              </w:rPr>
              <w:t>2030*</w:t>
            </w:r>
          </w:p>
        </w:tc>
      </w:tr>
      <w:tr w:rsidR="00040A76" w:rsidRPr="00040A76" w:rsidTr="009E2AC9">
        <w:trPr>
          <w:trHeight w:val="466"/>
        </w:trPr>
        <w:tc>
          <w:tcPr>
            <w:tcW w:w="993" w:type="dxa"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color w:val="000000"/>
                <w:sz w:val="20"/>
                <w:szCs w:val="20"/>
              </w:rPr>
              <w:t>15646,75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0A76">
              <w:rPr>
                <w:rFonts w:eastAsia="Calibri" w:cs="Times New Roman"/>
                <w:sz w:val="20"/>
                <w:szCs w:val="20"/>
              </w:rPr>
              <w:t>4725,27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0A76">
              <w:rPr>
                <w:rFonts w:eastAsia="Calibri" w:cs="Times New Roman"/>
                <w:sz w:val="20"/>
                <w:szCs w:val="20"/>
              </w:rPr>
              <w:t>5639,63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3987,12</w:t>
            </w:r>
          </w:p>
        </w:tc>
        <w:tc>
          <w:tcPr>
            <w:tcW w:w="993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77115,30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5445,00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5445,00</w:t>
            </w:r>
          </w:p>
        </w:tc>
        <w:tc>
          <w:tcPr>
            <w:tcW w:w="567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0A76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040A76" w:rsidRPr="00040A76" w:rsidTr="009E2AC9">
        <w:trPr>
          <w:trHeight w:val="466"/>
        </w:trPr>
        <w:tc>
          <w:tcPr>
            <w:tcW w:w="993" w:type="dxa"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color w:val="000000"/>
                <w:sz w:val="20"/>
                <w:szCs w:val="20"/>
              </w:rPr>
              <w:t>2466,65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2356,33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1348,08</w:t>
            </w:r>
          </w:p>
        </w:tc>
        <w:tc>
          <w:tcPr>
            <w:tcW w:w="993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10384,70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567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40A76" w:rsidRPr="00040A76" w:rsidTr="009E2AC9">
        <w:trPr>
          <w:trHeight w:val="501"/>
        </w:trPr>
        <w:tc>
          <w:tcPr>
            <w:tcW w:w="993" w:type="dxa"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40A76" w:rsidRPr="00040A76" w:rsidRDefault="00040A76" w:rsidP="009E2AC9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141</w:t>
            </w:r>
            <w:r w:rsidR="009E2AC9">
              <w:rPr>
                <w:rFonts w:eastAsia="Calibri" w:cs="Times New Roman"/>
                <w:bCs/>
                <w:color w:val="000000"/>
                <w:sz w:val="20"/>
                <w:szCs w:val="20"/>
              </w:rPr>
              <w:t>2</w:t>
            </w: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,27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1181,83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9E2AC9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17</w:t>
            </w:r>
            <w:r w:rsidR="009E2AC9">
              <w:rPr>
                <w:rFonts w:eastAsia="Calibri" w:cs="Times New Roman"/>
                <w:bCs/>
                <w:color w:val="000000"/>
                <w:sz w:val="20"/>
                <w:szCs w:val="20"/>
              </w:rPr>
              <w:t>6</w:t>
            </w: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,54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1148,29</w:t>
            </w:r>
          </w:p>
        </w:tc>
        <w:tc>
          <w:tcPr>
            <w:tcW w:w="993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2129,40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567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40A76" w:rsidRPr="00040A76" w:rsidTr="009E2AC9">
        <w:trPr>
          <w:trHeight w:val="501"/>
        </w:trPr>
        <w:tc>
          <w:tcPr>
            <w:tcW w:w="993" w:type="dxa"/>
          </w:tcPr>
          <w:p w:rsidR="00040A76" w:rsidRPr="00040A76" w:rsidRDefault="00040A76" w:rsidP="00040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0A76" w:rsidRPr="00040A76" w:rsidRDefault="009E2AC9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>53,93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9E2AC9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35,</w:t>
            </w:r>
            <w:r w:rsidR="009E2AC9">
              <w:rPr>
                <w:rFonts w:eastAsia="Calibri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" w:type="dxa"/>
            <w:vAlign w:val="center"/>
          </w:tcPr>
          <w:p w:rsidR="00040A76" w:rsidRPr="00040A76" w:rsidRDefault="00040A76" w:rsidP="00040A76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040A76">
              <w:rPr>
                <w:rFonts w:eastAsia="Calibri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2AC9" w:rsidRPr="00040A76" w:rsidTr="009E2AC9">
        <w:trPr>
          <w:trHeight w:val="501"/>
        </w:trPr>
        <w:tc>
          <w:tcPr>
            <w:tcW w:w="993" w:type="dxa"/>
          </w:tcPr>
          <w:p w:rsidR="009E2AC9" w:rsidRPr="00040A76" w:rsidRDefault="009E2AC9" w:rsidP="00040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0A76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2AC9" w:rsidRDefault="009E2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121563,39</w:t>
            </w:r>
          </w:p>
        </w:tc>
        <w:tc>
          <w:tcPr>
            <w:tcW w:w="992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8282,22</w:t>
            </w:r>
          </w:p>
        </w:tc>
        <w:tc>
          <w:tcPr>
            <w:tcW w:w="992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5908,28</w:t>
            </w:r>
          </w:p>
        </w:tc>
        <w:tc>
          <w:tcPr>
            <w:tcW w:w="992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6483,49</w:t>
            </w:r>
          </w:p>
        </w:tc>
        <w:tc>
          <w:tcPr>
            <w:tcW w:w="993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89629,4</w:t>
            </w:r>
          </w:p>
        </w:tc>
        <w:tc>
          <w:tcPr>
            <w:tcW w:w="992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5630,0</w:t>
            </w:r>
          </w:p>
        </w:tc>
        <w:tc>
          <w:tcPr>
            <w:tcW w:w="992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5630,0</w:t>
            </w:r>
          </w:p>
        </w:tc>
        <w:tc>
          <w:tcPr>
            <w:tcW w:w="567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568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566" w:type="dxa"/>
            <w:vAlign w:val="bottom"/>
          </w:tcPr>
          <w:p w:rsidR="009E2AC9" w:rsidRDefault="009E2AC9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</w:tbl>
    <w:p w:rsidR="00E41254" w:rsidRPr="00B44B87" w:rsidRDefault="00E41254" w:rsidP="00E41254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Ресурсное обеспечение программы приведено в Приложении №12.</w:t>
      </w:r>
    </w:p>
    <w:p w:rsidR="00E41254" w:rsidRPr="00B44B87" w:rsidRDefault="00E41254" w:rsidP="00E41254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41254" w:rsidRDefault="00E41254" w:rsidP="00E41254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780EC5" w:rsidRPr="00B44B87" w:rsidRDefault="00780EC5" w:rsidP="00E41254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80EC5" w:rsidRDefault="00780EC5" w:rsidP="00780E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3 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FB12B8">
        <w:rPr>
          <w:rFonts w:eastAsia="Calibri" w:cs="Times New Roman"/>
          <w:szCs w:val="28"/>
          <w:lang w:eastAsia="ru-RU"/>
        </w:rPr>
        <w:t xml:space="preserve">Адресный перечень дворовых территорий многоквартирных домов (с учетом их физического 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Pr="00FB12B8">
        <w:rPr>
          <w:rFonts w:eastAsia="Calibri" w:cs="Times New Roman"/>
          <w:szCs w:val="28"/>
          <w:lang w:eastAsia="ru-RU"/>
        </w:rPr>
        <w:t>исходя из минимального перечня работ по благоустройству на которых планируется</w:t>
      </w:r>
      <w:proofErr w:type="gramEnd"/>
      <w:r w:rsidRPr="00FB12B8">
        <w:rPr>
          <w:rFonts w:eastAsia="Calibri" w:cs="Times New Roman"/>
          <w:szCs w:val="28"/>
          <w:lang w:eastAsia="ru-RU"/>
        </w:rPr>
        <w:t xml:space="preserve"> благоустройство до 20</w:t>
      </w:r>
      <w:r>
        <w:rPr>
          <w:rFonts w:eastAsia="Calibri" w:cs="Times New Roman"/>
          <w:szCs w:val="28"/>
          <w:lang w:eastAsia="ru-RU"/>
        </w:rPr>
        <w:t>30</w:t>
      </w:r>
      <w:r w:rsidRPr="00FB12B8">
        <w:rPr>
          <w:rFonts w:eastAsia="Calibri" w:cs="Times New Roman"/>
          <w:szCs w:val="28"/>
          <w:lang w:eastAsia="ru-RU"/>
        </w:rPr>
        <w:t xml:space="preserve">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79"/>
        <w:gridCol w:w="4893"/>
      </w:tblGrid>
      <w:tr w:rsidR="00780EC5" w:rsidRPr="00FB12B8" w:rsidTr="009E2AC9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ентаризации по состоянию на 01.10</w:t>
            </w: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780EC5" w:rsidRPr="00FB12B8" w:rsidTr="009E2AC9">
        <w:trPr>
          <w:trHeight w:val="4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2022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Милицейская</w:t>
            </w:r>
            <w:proofErr w:type="gramEnd"/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6*</w:t>
            </w: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71416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FB12B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  <w:tr w:rsidR="00780EC5" w:rsidRPr="00FB12B8" w:rsidTr="009E2A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30</w:t>
            </w:r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 год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71416C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75</w:t>
            </w:r>
          </w:p>
        </w:tc>
      </w:tr>
      <w:tr w:rsidR="00780EC5" w:rsidRPr="00FB12B8" w:rsidTr="009E2A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71416C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E4125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75</w:t>
            </w:r>
          </w:p>
        </w:tc>
      </w:tr>
    </w:tbl>
    <w:p w:rsidR="00780EC5" w:rsidRPr="00FB12B8" w:rsidRDefault="00780EC5" w:rsidP="00780EC5">
      <w:pPr>
        <w:tabs>
          <w:tab w:val="left" w:pos="0"/>
        </w:tabs>
        <w:spacing w:after="0" w:line="240" w:lineRule="auto"/>
        <w:ind w:left="-142"/>
        <w:rPr>
          <w:rFonts w:eastAsia="Times New Roman" w:cs="Times New Roman"/>
          <w:sz w:val="26"/>
          <w:szCs w:val="26"/>
          <w:lang w:eastAsia="ru-RU"/>
        </w:rPr>
      </w:pPr>
      <w:r w:rsidRPr="00FB12B8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41254">
        <w:rPr>
          <w:rFonts w:eastAsia="Times New Roman" w:cs="Times New Roman"/>
          <w:sz w:val="18"/>
          <w:szCs w:val="18"/>
          <w:lang w:eastAsia="ru-RU"/>
        </w:rPr>
        <w:t xml:space="preserve">данные дворовые территории включены планово на основании поданных заявок в отборе администрации </w:t>
      </w:r>
      <w:proofErr w:type="spellStart"/>
      <w:r w:rsidRPr="00E41254">
        <w:rPr>
          <w:rFonts w:eastAsia="Times New Roman" w:cs="Times New Roman"/>
          <w:sz w:val="18"/>
          <w:szCs w:val="18"/>
          <w:lang w:eastAsia="ru-RU"/>
        </w:rPr>
        <w:t>Кирсинского</w:t>
      </w:r>
      <w:proofErr w:type="spellEnd"/>
      <w:r w:rsidRPr="00E41254">
        <w:rPr>
          <w:rFonts w:eastAsia="Times New Roman" w:cs="Times New Roman"/>
          <w:sz w:val="18"/>
          <w:szCs w:val="18"/>
          <w:lang w:eastAsia="ru-RU"/>
        </w:rPr>
        <w:t xml:space="preserve"> городского поселения 2018,2019,2020,2021 </w:t>
      </w:r>
      <w:proofErr w:type="spellStart"/>
      <w:proofErr w:type="gramStart"/>
      <w:r w:rsidRPr="00E41254">
        <w:rPr>
          <w:rFonts w:eastAsia="Times New Roman" w:cs="Times New Roman"/>
          <w:sz w:val="18"/>
          <w:szCs w:val="18"/>
          <w:lang w:eastAsia="ru-RU"/>
        </w:rPr>
        <w:t>гг</w:t>
      </w:r>
      <w:proofErr w:type="spellEnd"/>
      <w:proofErr w:type="gramEnd"/>
      <w:r w:rsidRPr="00E41254">
        <w:rPr>
          <w:rFonts w:eastAsia="Times New Roman" w:cs="Times New Roman"/>
          <w:sz w:val="18"/>
          <w:szCs w:val="18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</w:t>
      </w:r>
      <w:r w:rsidRPr="00FB12B8">
        <w:rPr>
          <w:rFonts w:eastAsia="Times New Roman" w:cs="Times New Roman"/>
          <w:sz w:val="26"/>
          <w:szCs w:val="26"/>
          <w:lang w:eastAsia="ru-RU"/>
        </w:rPr>
        <w:t>.</w:t>
      </w:r>
      <w:r w:rsidRPr="008725C4">
        <w:rPr>
          <w:rFonts w:eastAsia="Calibri" w:cs="Times New Roman"/>
          <w:szCs w:val="28"/>
        </w:rPr>
        <w:t xml:space="preserve">                                                                        </w:t>
      </w:r>
    </w:p>
    <w:p w:rsidR="00780EC5" w:rsidRDefault="00780EC5" w:rsidP="00780E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780E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4.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780EC5" w:rsidRPr="00EA1483" w:rsidRDefault="00780EC5" w:rsidP="00780EC5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780EC5" w:rsidRPr="00D97AC7" w:rsidTr="0062310E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4B593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СКАЗ О КИРСЕ И КИРСИНЦАХ</w:t>
            </w:r>
            <w:proofErr w:type="gramStart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Проект преобразования главных общественных пространств города </w:t>
            </w:r>
            <w:proofErr w:type="spellStart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РЦ «Досуг»</w:t>
            </w:r>
          </w:p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Городской парк у церкви Покрова Пресвятой Богородицы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 до перекрестка ул. Заречная- Малая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62CC2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церкви Покрова Пресвятой Богородицы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780EC5" w:rsidRDefault="00780EC5" w:rsidP="00780EC5">
      <w:pPr>
        <w:tabs>
          <w:tab w:val="left" w:pos="0"/>
        </w:tabs>
        <w:spacing w:after="0" w:line="240" w:lineRule="auto"/>
        <w:ind w:left="142" w:hanging="142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* - </w:t>
      </w:r>
      <w:proofErr w:type="gramStart"/>
      <w:r w:rsidRPr="0071416C">
        <w:rPr>
          <w:rFonts w:eastAsia="Times New Roman" w:cs="Times New Roman"/>
          <w:sz w:val="18"/>
          <w:szCs w:val="18"/>
          <w:lang w:eastAsia="ru-RU"/>
        </w:rPr>
        <w:t>включена</w:t>
      </w:r>
      <w:proofErr w:type="gramEnd"/>
      <w:r w:rsidRPr="0071416C">
        <w:rPr>
          <w:rFonts w:eastAsia="Times New Roman" w:cs="Times New Roman"/>
          <w:sz w:val="18"/>
          <w:szCs w:val="18"/>
          <w:lang w:eastAsia="ru-RU"/>
        </w:rPr>
        <w:t xml:space="preserve"> по результатам победы в конкурсе</w:t>
      </w:r>
    </w:p>
    <w:p w:rsidR="00780EC5" w:rsidRPr="00D97AC7" w:rsidRDefault="00780EC5" w:rsidP="00780EC5">
      <w:pPr>
        <w:tabs>
          <w:tab w:val="left" w:pos="0"/>
        </w:tabs>
        <w:spacing w:after="0" w:line="240" w:lineRule="auto"/>
        <w:ind w:left="142" w:hanging="142"/>
        <w:rPr>
          <w:rFonts w:eastAsia="Times New Roman" w:cs="Times New Roman"/>
          <w:sz w:val="26"/>
          <w:szCs w:val="26"/>
          <w:lang w:eastAsia="ru-RU"/>
        </w:rPr>
      </w:pPr>
    </w:p>
    <w:p w:rsidR="00780EC5" w:rsidRDefault="00780EC5" w:rsidP="00780EC5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5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</w:t>
      </w:r>
      <w:r w:rsidR="00AC099D">
        <w:rPr>
          <w:rFonts w:eastAsia="Calibri" w:cs="Times New Roman"/>
          <w:szCs w:val="28"/>
          <w:lang w:eastAsia="ru-RU"/>
        </w:rPr>
        <w:t>30</w:t>
      </w:r>
      <w:r w:rsidRPr="00D97AC7">
        <w:rPr>
          <w:rFonts w:eastAsia="Calibri" w:cs="Times New Roman"/>
          <w:szCs w:val="28"/>
          <w:lang w:eastAsia="ru-RU"/>
        </w:rPr>
        <w:t xml:space="preserve">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</w:t>
            </w:r>
            <w:r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2020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62CC2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 </w:t>
            </w:r>
            <w:proofErr w:type="spellStart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2024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C6EA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4C6EA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4C6EA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церкви Покрова Пресвятой Богородицы, ул. Ленина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C6EA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55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4B5938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СКАЗ О КИРСЕ И КИРСИНЦАХ</w:t>
            </w:r>
            <w:proofErr w:type="gramStart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Проект преобразования главных общественных пространств города </w:t>
            </w:r>
            <w:proofErr w:type="spellStart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РЦ «Досуг»</w:t>
            </w:r>
          </w:p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97D8D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Городской парк у 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55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780EC5" w:rsidRPr="00D97AC7" w:rsidTr="0062310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  <w:tr w:rsidR="00780EC5" w:rsidRPr="00D97AC7" w:rsidTr="0062310E">
        <w:trPr>
          <w:trHeight w:val="34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012FE">
              <w:rPr>
                <w:rFonts w:eastAsia="Times New Roman" w:cs="Times New Roman"/>
                <w:sz w:val="26"/>
                <w:szCs w:val="26"/>
              </w:rPr>
              <w:t>2027 * год</w:t>
            </w:r>
          </w:p>
        </w:tc>
      </w:tr>
      <w:tr w:rsidR="00780EC5" w:rsidRPr="00D97AC7" w:rsidTr="00623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C5" w:rsidRPr="00D97AC7" w:rsidRDefault="00780EC5" w:rsidP="0062310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</w:tbl>
    <w:p w:rsidR="00780EC5" w:rsidRDefault="00780EC5" w:rsidP="00780EC5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780EC5" w:rsidRDefault="00780EC5" w:rsidP="00780EC5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780EC5" w:rsidRPr="00BB1D92" w:rsidRDefault="00780EC5" w:rsidP="00780EC5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  <w:r w:rsidRPr="00BB1D92">
        <w:rPr>
          <w:rFonts w:eastAsia="Times New Roman" w:cs="Times New Roman"/>
          <w:sz w:val="16"/>
          <w:szCs w:val="16"/>
          <w:lang w:eastAsia="ru-RU"/>
        </w:rPr>
        <w:t>*- данные общественные  территории включены планово на основании инвентаризации. На основании голосования на единой федеральной платформе в плановых периодах  могут быть сдвинуты на другой плановый период или исключены из списка на основании не поданных заявок и решения общественной комиссии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>.</w:t>
      </w:r>
      <w:r w:rsidRPr="00BB1D92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780EC5" w:rsidRPr="0071416C" w:rsidRDefault="00780EC5" w:rsidP="00780EC5">
      <w:pPr>
        <w:suppressAutoHyphens/>
        <w:spacing w:after="0" w:line="240" w:lineRule="auto"/>
        <w:rPr>
          <w:rFonts w:eastAsia="Calibri" w:cs="Times New Roman"/>
          <w:sz w:val="18"/>
          <w:szCs w:val="18"/>
          <w:lang w:eastAsia="ar-SA"/>
        </w:rPr>
      </w:pPr>
      <w:r w:rsidRPr="0071416C">
        <w:rPr>
          <w:rFonts w:eastAsia="Calibri" w:cs="Times New Roman"/>
          <w:b/>
          <w:szCs w:val="28"/>
          <w:lang w:eastAsia="ar-SA"/>
        </w:rPr>
        <w:t>*</w:t>
      </w:r>
      <w:r>
        <w:rPr>
          <w:rFonts w:eastAsia="Calibri" w:cs="Times New Roman"/>
          <w:b/>
          <w:szCs w:val="28"/>
          <w:lang w:eastAsia="ar-SA"/>
        </w:rPr>
        <w:t>*</w:t>
      </w:r>
      <w:r w:rsidRPr="0071416C">
        <w:rPr>
          <w:rFonts w:eastAsia="Calibri" w:cs="Times New Roman"/>
          <w:b/>
          <w:szCs w:val="28"/>
          <w:lang w:eastAsia="ar-SA"/>
        </w:rPr>
        <w:t xml:space="preserve"> - </w:t>
      </w:r>
      <w:proofErr w:type="gramStart"/>
      <w:r w:rsidRPr="0071416C">
        <w:rPr>
          <w:rFonts w:eastAsia="Calibri" w:cs="Times New Roman"/>
          <w:sz w:val="18"/>
          <w:szCs w:val="18"/>
          <w:lang w:eastAsia="ar-SA"/>
        </w:rPr>
        <w:t>в</w:t>
      </w:r>
      <w:proofErr w:type="gramEnd"/>
      <w:r w:rsidRPr="0071416C">
        <w:rPr>
          <w:rFonts w:eastAsia="Calibri" w:cs="Times New Roman"/>
          <w:sz w:val="18"/>
          <w:szCs w:val="18"/>
          <w:lang w:eastAsia="ar-SA"/>
        </w:rPr>
        <w:t>ключена по результатам победы в конкурсе</w:t>
      </w:r>
      <w:r>
        <w:rPr>
          <w:rFonts w:eastAsia="Calibri" w:cs="Times New Roman"/>
          <w:sz w:val="18"/>
          <w:szCs w:val="18"/>
          <w:lang w:eastAsia="ar-SA"/>
        </w:rPr>
        <w:t>, входит в показатели отдельного мероприятия по реализации проекта победителя Всероссийского конкурса</w:t>
      </w:r>
    </w:p>
    <w:p w:rsidR="00780EC5" w:rsidRDefault="00780EC5" w:rsidP="00780EC5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AC099D" w:rsidRPr="00AC099D" w:rsidRDefault="00AC099D" w:rsidP="00AC099D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6. Дополнить </w:t>
      </w:r>
      <w:r w:rsidRPr="008725C4">
        <w:rPr>
          <w:rFonts w:eastAsia="Calibri" w:cs="Times New Roman"/>
          <w:szCs w:val="28"/>
          <w:lang w:eastAsia="ru-RU"/>
        </w:rPr>
        <w:t>Приложение</w:t>
      </w:r>
      <w:r>
        <w:rPr>
          <w:rFonts w:eastAsia="Calibri" w:cs="Times New Roman"/>
          <w:szCs w:val="28"/>
          <w:lang w:eastAsia="ru-RU"/>
        </w:rPr>
        <w:t>м</w:t>
      </w:r>
      <w:r w:rsidRPr="008725C4"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lang w:eastAsia="ru-RU"/>
        </w:rPr>
        <w:t>6</w:t>
      </w:r>
      <w:r>
        <w:rPr>
          <w:rFonts w:eastAsia="Calibri" w:cs="Times New Roman"/>
          <w:szCs w:val="28"/>
          <w:lang w:eastAsia="ru-RU"/>
        </w:rPr>
        <w:t>.1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AC099D">
        <w:rPr>
          <w:rFonts w:eastAsia="Calibri" w:cs="Times New Roman"/>
          <w:szCs w:val="28"/>
          <w:lang w:eastAsia="ru-RU"/>
        </w:rPr>
        <w:t>П</w:t>
      </w:r>
      <w:r>
        <w:rPr>
          <w:rFonts w:eastAsia="Calibri" w:cs="Times New Roman"/>
          <w:szCs w:val="28"/>
          <w:lang w:eastAsia="ru-RU"/>
        </w:rPr>
        <w:t>еречень</w:t>
      </w:r>
    </w:p>
    <w:p w:rsidR="00AC099D" w:rsidRDefault="00AC099D" w:rsidP="00AC099D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мероприятий </w:t>
      </w:r>
      <w:r w:rsidRPr="00AC099D">
        <w:rPr>
          <w:rFonts w:eastAsia="Calibri" w:cs="Times New Roman"/>
          <w:szCs w:val="28"/>
          <w:lang w:eastAsia="ru-RU"/>
        </w:rPr>
        <w:t>проект</w:t>
      </w:r>
      <w:r>
        <w:rPr>
          <w:rFonts w:eastAsia="Calibri" w:cs="Times New Roman"/>
          <w:szCs w:val="28"/>
          <w:lang w:eastAsia="ru-RU"/>
        </w:rPr>
        <w:t>а</w:t>
      </w:r>
      <w:r w:rsidR="009E2AC9">
        <w:rPr>
          <w:rFonts w:eastAsia="Calibri" w:cs="Times New Roman"/>
          <w:szCs w:val="28"/>
          <w:lang w:eastAsia="ru-RU"/>
        </w:rPr>
        <w:t xml:space="preserve"> </w:t>
      </w:r>
      <w:r w:rsidRPr="00AC099D">
        <w:rPr>
          <w:rFonts w:eastAsia="Calibri" w:cs="Times New Roman"/>
          <w:szCs w:val="28"/>
          <w:lang w:eastAsia="ru-RU"/>
        </w:rPr>
        <w:t>– победител</w:t>
      </w:r>
      <w:r>
        <w:rPr>
          <w:rFonts w:eastAsia="Calibri" w:cs="Times New Roman"/>
          <w:szCs w:val="28"/>
          <w:lang w:eastAsia="ru-RU"/>
        </w:rPr>
        <w:t>я</w:t>
      </w:r>
      <w:r w:rsidRPr="00AC099D">
        <w:rPr>
          <w:rFonts w:eastAsia="Calibri" w:cs="Times New Roman"/>
          <w:szCs w:val="28"/>
          <w:lang w:eastAsia="ru-RU"/>
        </w:rPr>
        <w:t xml:space="preserve"> Всероссийского конкурса лучших проектов создания комфортной городской среды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9"/>
        <w:gridCol w:w="1276"/>
        <w:gridCol w:w="5103"/>
      </w:tblGrid>
      <w:tr w:rsidR="00AC099D" w:rsidRPr="00AC099D" w:rsidTr="00AC099D">
        <w:trPr>
          <w:trHeight w:val="81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AC099D" w:rsidRPr="00AC099D" w:rsidTr="00AC099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 xml:space="preserve">СКАЗ О КИРСЕ И </w:t>
            </w:r>
            <w:r w:rsidRPr="00AC099D">
              <w:rPr>
                <w:rFonts w:cs="Times New Roman"/>
                <w:sz w:val="24"/>
                <w:szCs w:val="24"/>
              </w:rPr>
              <w:lastRenderedPageBreak/>
              <w:t>КИРСИНЦАХ</w:t>
            </w:r>
            <w:proofErr w:type="gramStart"/>
            <w:r w:rsidRPr="00AC099D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AC099D">
              <w:rPr>
                <w:rFonts w:cs="Times New Roman"/>
                <w:sz w:val="24"/>
                <w:szCs w:val="24"/>
              </w:rPr>
              <w:t xml:space="preserve"> Проект преобразования главных общественных пространств города </w:t>
            </w:r>
            <w:proofErr w:type="spellStart"/>
            <w:r w:rsidRPr="00AC099D">
              <w:rPr>
                <w:rFonts w:cs="Times New Roman"/>
                <w:sz w:val="24"/>
                <w:szCs w:val="24"/>
              </w:rPr>
              <w:t>Кирс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lastRenderedPageBreak/>
              <w:t>Событийн</w:t>
            </w:r>
            <w:r w:rsidRPr="00AC099D">
              <w:rPr>
                <w:rFonts w:cs="Times New Roman"/>
                <w:sz w:val="24"/>
                <w:szCs w:val="24"/>
              </w:rPr>
              <w:lastRenderedPageBreak/>
              <w:t>ая зона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lastRenderedPageBreak/>
              <w:t xml:space="preserve">Установка типовых малых архитектурных </w:t>
            </w:r>
            <w:r w:rsidRPr="00AC099D">
              <w:rPr>
                <w:rFonts w:cs="Times New Roman"/>
                <w:sz w:val="24"/>
                <w:szCs w:val="24"/>
              </w:rPr>
              <w:lastRenderedPageBreak/>
              <w:t>форм, устройство смотровой вышки «</w:t>
            </w:r>
            <w:proofErr w:type="spellStart"/>
            <w:r w:rsidRPr="00AC099D">
              <w:rPr>
                <w:rFonts w:cs="Times New Roman"/>
                <w:sz w:val="24"/>
                <w:szCs w:val="24"/>
              </w:rPr>
              <w:t>Кирскабель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>»</w:t>
            </w:r>
            <w:proofErr w:type="gramStart"/>
            <w:r w:rsidRPr="00AC099D">
              <w:rPr>
                <w:rFonts w:cs="Times New Roman"/>
                <w:sz w:val="24"/>
                <w:szCs w:val="24"/>
              </w:rPr>
              <w:t>,п</w:t>
            </w:r>
            <w:proofErr w:type="gramEnd"/>
            <w:r w:rsidRPr="00AC099D">
              <w:rPr>
                <w:rFonts w:cs="Times New Roman"/>
                <w:sz w:val="24"/>
                <w:szCs w:val="24"/>
              </w:rPr>
              <w:t>ешеходных дорожек, ремонт бетонного покрытия, отсыпка дорожек, установка сцены, ярмарочных торговых павильонов, озеленение, устройство наружного освещения, установка видеонаблюдения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C099D">
              <w:rPr>
                <w:rFonts w:cs="Times New Roman"/>
                <w:sz w:val="24"/>
                <w:szCs w:val="24"/>
              </w:rPr>
              <w:t>Пешеходн</w:t>
            </w:r>
            <w:proofErr w:type="gramStart"/>
            <w:r w:rsidRPr="00AC099D">
              <w:rPr>
                <w:rFonts w:cs="Times New Roman"/>
                <w:sz w:val="24"/>
                <w:szCs w:val="24"/>
              </w:rPr>
              <w:t>о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AC099D">
              <w:rPr>
                <w:rFonts w:cs="Times New Roman"/>
                <w:sz w:val="24"/>
                <w:szCs w:val="24"/>
              </w:rPr>
              <w:t xml:space="preserve"> прогулочная зона </w:t>
            </w:r>
          </w:p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в клубном саду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Устройство пешеходных дорожек, установка типовых малых архитектурных форм, уникальных объектов (арка, стенды, лестница, фигуры сказочных персонажей), устройство наружного освещения, озеленение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рыбалки и отдыха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Отсыпка песчано-гравийной смесью, устройство пешеходных дорожек, наружного освещения, установка типовых малых архитектурных форм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игр для детей 5-12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Установка типовых малых архитектурных форм, устройство канатной дороги, наружного освещения, установка видеонаблюдения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купели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Устройство пешеходных дорожек, установка типовых малых архитектурных форм, установка уникальных малых архитектурных форм (скульптуры, информационный стенд, столбик), озеленение, устройство наружного освещения, установка видеонаблюдения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C099D">
              <w:rPr>
                <w:rFonts w:cs="Times New Roman"/>
                <w:sz w:val="24"/>
                <w:szCs w:val="24"/>
              </w:rPr>
              <w:t>Пешеходно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>-прогулочная зона набережной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Установка видеонаблюдения, озеленение, устройство наружного освещения, пешеходных дорожек, установка санузла, установка типовых малых архитектурных форм, информационного стенда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культуры и истории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 xml:space="preserve">Установка видеонаблюдения, озеленение, устройство наружного освещения, устройство пешеходных дорожек, отсыпка грунтом в клумбах, устройство сухого фонтана, установка торгового павильона, устройство </w:t>
            </w:r>
            <w:proofErr w:type="spellStart"/>
            <w:r w:rsidRPr="00AC099D">
              <w:rPr>
                <w:rFonts w:cs="Times New Roman"/>
                <w:sz w:val="24"/>
                <w:szCs w:val="24"/>
              </w:rPr>
              <w:t>рокария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 xml:space="preserve"> с камнями, теневого навеса, установка типовых малых архитектурных форм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отдыха у воды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 xml:space="preserve">Установка видеонаблюдения, устройство наружного освещения, установка типовых малых архитектурных форм, устройство </w:t>
            </w:r>
            <w:r w:rsidRPr="00AC099D">
              <w:rPr>
                <w:rFonts w:cs="Times New Roman"/>
                <w:sz w:val="24"/>
                <w:szCs w:val="24"/>
              </w:rPr>
              <w:lastRenderedPageBreak/>
              <w:t>амфитеатра, устройство навеса, установка информационных стендов, барельефа «</w:t>
            </w:r>
            <w:proofErr w:type="spellStart"/>
            <w:r w:rsidRPr="00AC099D">
              <w:rPr>
                <w:rFonts w:cs="Times New Roman"/>
                <w:sz w:val="24"/>
                <w:szCs w:val="24"/>
              </w:rPr>
              <w:t>Кирскабель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тихого отдыха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Озеленение, устройство наружного освещения, пешеходных дорожек, установка типовых малых архитектурных форм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игр 2-6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Устройство наружного освещения, покрытия, установка оборудования для детской площадки, типовых малых архитектурных форм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кинетических развивающих игр для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Устройство наружного освещения, покрытия, установка карусели с расширенными возможностями, батута, стенда, типовых малых архитектурных форм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спорта и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 xml:space="preserve">Установка видеонаблюдения, устройство наружного освещения, озеленение, устройство велодорожки, отсыпка пешеходных дорожек, устройство бетонного покрытия наливного, оборудование спортивной площадки и </w:t>
            </w:r>
            <w:proofErr w:type="spellStart"/>
            <w:r w:rsidRPr="00AC099D">
              <w:rPr>
                <w:rFonts w:cs="Times New Roman"/>
                <w:sz w:val="24"/>
                <w:szCs w:val="24"/>
              </w:rPr>
              <w:t>скейт</w:t>
            </w:r>
            <w:proofErr w:type="spellEnd"/>
            <w:r w:rsidRPr="00AC099D">
              <w:rPr>
                <w:rFonts w:cs="Times New Roman"/>
                <w:sz w:val="24"/>
                <w:szCs w:val="24"/>
              </w:rPr>
              <w:t>-площадки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Зона пляжного отдыха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Устройство наружного освещения, отсыпка песком</w:t>
            </w:r>
          </w:p>
        </w:tc>
      </w:tr>
      <w:tr w:rsidR="00AC099D" w:rsidRPr="00AC099D" w:rsidTr="00AC099D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9D" w:rsidRPr="00AC099D" w:rsidRDefault="00AC099D" w:rsidP="00AC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C099D" w:rsidRPr="00AC099D" w:rsidRDefault="00AC099D" w:rsidP="00AC09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>Парковка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9D" w:rsidRPr="00AC099D" w:rsidRDefault="00AC099D" w:rsidP="00AC099D">
            <w:pPr>
              <w:tabs>
                <w:tab w:val="right" w:pos="3879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C099D">
              <w:rPr>
                <w:rFonts w:cs="Times New Roman"/>
                <w:sz w:val="24"/>
                <w:szCs w:val="24"/>
              </w:rPr>
              <w:t xml:space="preserve">Устройство наружного освещения, асфальтового покрытия </w:t>
            </w:r>
          </w:p>
        </w:tc>
      </w:tr>
    </w:tbl>
    <w:p w:rsidR="00AC099D" w:rsidRPr="00D97AC7" w:rsidRDefault="00AC099D" w:rsidP="00780EC5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E41254" w:rsidRPr="00780EC5" w:rsidRDefault="00AC099D" w:rsidP="00780EC5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7</w:t>
      </w:r>
      <w:r w:rsidR="00E41254" w:rsidRPr="00B44B87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780EC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41254" w:rsidRPr="00780EC5">
        <w:rPr>
          <w:rFonts w:eastAsia="Times New Roman" w:cs="Times New Roman"/>
          <w:szCs w:val="28"/>
          <w:lang w:eastAsia="ru-RU"/>
        </w:rPr>
        <w:t>Приложение № 8 к муниципальной программе «Сведения о целевых показателях муниципальной программы «Формирование современной городской среды» на 2022-2030 гг.»  изложить в следующей редакции:</w:t>
      </w:r>
    </w:p>
    <w:p w:rsidR="00780EC5" w:rsidRPr="00B44B87" w:rsidRDefault="00780EC5" w:rsidP="00E41254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41254" w:rsidRPr="00B44B87" w:rsidTr="00E41254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мероприятия,</w:t>
            </w:r>
          </w:p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1254" w:rsidRPr="00B44B87" w:rsidTr="00E41254">
        <w:trPr>
          <w:trHeight w:val="5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2030</w:t>
            </w:r>
          </w:p>
        </w:tc>
      </w:tr>
      <w:tr w:rsidR="00E41254" w:rsidRPr="00B44B87" w:rsidTr="00E41254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Программа «Формирование современной городской среды»  на 2022-2024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41254" w:rsidRPr="00B44B87" w:rsidTr="00E41254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41254" w:rsidRPr="00B44B87" w:rsidTr="00E41254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Задача: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дворовых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общественных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благоустройства общественных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Показатель: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Отдельное мероприятие: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благоустроенных пространств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780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="00780EC5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индекса качества городской среды по отношению к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n=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n+59</w:t>
            </w: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Привлечение в реализацию муниципальной программы граждан старше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41254" w:rsidRPr="00B44B87" w:rsidTr="00E412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 принявших участие в голосовании на единой федеральной платформе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4086**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4328**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E41254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4500**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B44B87" w:rsidRDefault="00780EC5" w:rsidP="00E4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2871</w:t>
            </w:r>
            <w:r w:rsidR="00E41254"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780EC5" w:rsidRDefault="00780EC5" w:rsidP="00E4125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2871</w:t>
            </w:r>
            <w:r w:rsidR="00E41254"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780EC5" w:rsidRDefault="00780EC5" w:rsidP="00E4125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2871</w:t>
            </w:r>
            <w:r w:rsidR="00E41254"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780EC5" w:rsidRDefault="00780EC5" w:rsidP="00E4125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2871</w:t>
            </w:r>
            <w:r w:rsidR="00E41254"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780EC5" w:rsidRDefault="00780EC5" w:rsidP="00E4125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2871</w:t>
            </w:r>
            <w:r w:rsidR="00E41254"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780EC5" w:rsidRDefault="00780EC5" w:rsidP="00E4125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2871</w:t>
            </w:r>
            <w:r w:rsidR="00E41254"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Pr="00780EC5" w:rsidRDefault="00780EC5" w:rsidP="00E4125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2871</w:t>
            </w:r>
            <w:r w:rsidR="00E41254" w:rsidRPr="00780EC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**</w:t>
            </w:r>
          </w:p>
        </w:tc>
      </w:tr>
    </w:tbl>
    <w:p w:rsidR="00E41254" w:rsidRPr="00B44B87" w:rsidRDefault="00E41254" w:rsidP="00E41254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E41254" w:rsidRPr="00B44B87" w:rsidRDefault="00E41254" w:rsidP="00E41254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780EC5" w:rsidRDefault="00780EC5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AC099D" w:rsidRDefault="00AC099D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62310E" w:rsidRDefault="0062310E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62310E" w:rsidRDefault="0062310E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</w:p>
    <w:p w:rsidR="00E41254" w:rsidRPr="00B44B87" w:rsidRDefault="00AC099D" w:rsidP="00E41254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8</w:t>
      </w:r>
      <w:r w:rsidR="00E41254" w:rsidRPr="00B44B87">
        <w:rPr>
          <w:rFonts w:eastAsia="Calibri" w:cs="Times New Roman"/>
          <w:szCs w:val="28"/>
          <w:lang w:eastAsia="ru-RU"/>
        </w:rPr>
        <w:t>. Приложение № 12 к муниципальной программе «Сведения об объемах и источниках финансового обеспечения»  изложить в следующей редакции:</w:t>
      </w:r>
    </w:p>
    <w:tbl>
      <w:tblPr>
        <w:tblW w:w="13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850"/>
        <w:gridCol w:w="851"/>
        <w:gridCol w:w="992"/>
        <w:gridCol w:w="897"/>
        <w:gridCol w:w="899"/>
        <w:gridCol w:w="966"/>
        <w:gridCol w:w="897"/>
        <w:gridCol w:w="897"/>
        <w:gridCol w:w="547"/>
        <w:gridCol w:w="567"/>
        <w:gridCol w:w="567"/>
        <w:gridCol w:w="851"/>
        <w:gridCol w:w="960"/>
        <w:gridCol w:w="960"/>
        <w:gridCol w:w="960"/>
        <w:gridCol w:w="960"/>
      </w:tblGrid>
      <w:tr w:rsidR="0062310E" w:rsidRPr="0062310E" w:rsidTr="00040A76">
        <w:trPr>
          <w:trHeight w:val="1260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80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Расходы,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4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AC09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" Формирование современной городской среды на 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2022-20</w:t>
            </w:r>
            <w:r w:rsidR="00AC099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8282,22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5908,28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6483,49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89629,40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5630,00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5630,00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121563,39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5639,63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3987,12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77115,30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102357,32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88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4725,27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5639,63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3987,12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77115,30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5445,00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102357,32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5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10384,70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14256,08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10384,70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14256,08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2129,40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4896,06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1148,29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2129,40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4896,06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</w:t>
            </w: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28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9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Отдельное мероприятие: Благоустройство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1377,34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4272,26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1377,34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4236,26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3987,12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1348,08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1148,29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6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6483,49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9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408,95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3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11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358,52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408,95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6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7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50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6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11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6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55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73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9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52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11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8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6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6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0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4450,60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4262,29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3460,85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76362,30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4747,00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98030,04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6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4450,60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4262,29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3460,85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76362,30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4747,00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98030,04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3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2353,56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3903,65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5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2353,56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10439,69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14288,35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1028,91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2129,99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4202,91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6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730,53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1028,91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2129,99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129,99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129,99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63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2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6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0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9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69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3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7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43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</w:t>
            </w: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феде</w:t>
            </w: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0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9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7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7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14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390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43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97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AC099D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C099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70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AC099D" w:rsidRPr="0062310E" w:rsidTr="00040A76">
        <w:trPr>
          <w:trHeight w:val="375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99D" w:rsidRPr="0062310E" w:rsidRDefault="00AC099D" w:rsidP="00AC099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том числе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9D" w:rsidRPr="0062310E" w:rsidRDefault="00AC099D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62310E" w:rsidRPr="0062310E" w:rsidTr="00040A76">
        <w:trPr>
          <w:trHeight w:val="108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2310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0E" w:rsidRPr="0062310E" w:rsidRDefault="0062310E" w:rsidP="006231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2310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0E" w:rsidRPr="0062310E" w:rsidRDefault="0062310E" w:rsidP="00623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80EC5" w:rsidRPr="00B44B87" w:rsidRDefault="00780EC5" w:rsidP="00E4125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780EC5" w:rsidRPr="00B44B87" w:rsidSect="00AC099D">
          <w:pgSz w:w="11906" w:h="16838"/>
          <w:pgMar w:top="902" w:right="851" w:bottom="720" w:left="1701" w:header="709" w:footer="709" w:gutter="0"/>
          <w:cols w:space="708"/>
          <w:docGrid w:linePitch="381"/>
        </w:sectPr>
      </w:pPr>
    </w:p>
    <w:p w:rsidR="00E41254" w:rsidRPr="00B44B87" w:rsidRDefault="00E41254" w:rsidP="00E41254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E41254" w:rsidRPr="00B44B87" w:rsidRDefault="00E41254" w:rsidP="00E41254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B44B87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E41254" w:rsidRDefault="00E41254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p w:rsidR="009012FE" w:rsidRPr="0071416C" w:rsidRDefault="0071416C" w:rsidP="00780E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 w:val="18"/>
          <w:szCs w:val="18"/>
          <w:lang w:eastAsia="ar-SA"/>
        </w:rPr>
      </w:pPr>
      <w:r>
        <w:rPr>
          <w:rFonts w:eastAsia="Calibri" w:cs="Times New Roman"/>
          <w:szCs w:val="28"/>
          <w:lang w:eastAsia="ru-RU"/>
        </w:rPr>
        <w:t xml:space="preserve">1 </w:t>
      </w:r>
    </w:p>
    <w:p w:rsidR="007B0740" w:rsidRPr="00D97AC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sectPr w:rsidR="007B0740" w:rsidRPr="00D97AC7" w:rsidSect="00040A76">
      <w:pgSz w:w="11906" w:h="16838"/>
      <w:pgMar w:top="902" w:right="851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3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8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6"/>
  </w:num>
  <w:num w:numId="12">
    <w:abstractNumId w:val="32"/>
  </w:num>
  <w:num w:numId="13">
    <w:abstractNumId w:val="17"/>
  </w:num>
  <w:num w:numId="14">
    <w:abstractNumId w:val="11"/>
  </w:num>
  <w:num w:numId="15">
    <w:abstractNumId w:val="30"/>
  </w:num>
  <w:num w:numId="16">
    <w:abstractNumId w:val="28"/>
  </w:num>
  <w:num w:numId="17">
    <w:abstractNumId w:val="13"/>
  </w:num>
  <w:num w:numId="18">
    <w:abstractNumId w:val="26"/>
  </w:num>
  <w:num w:numId="19">
    <w:abstractNumId w:val="34"/>
  </w:num>
  <w:num w:numId="20">
    <w:abstractNumId w:val="10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9"/>
  </w:num>
  <w:num w:numId="30">
    <w:abstractNumId w:val="15"/>
  </w:num>
  <w:num w:numId="31">
    <w:abstractNumId w:val="21"/>
  </w:num>
  <w:num w:numId="32">
    <w:abstractNumId w:val="27"/>
  </w:num>
  <w:num w:numId="33">
    <w:abstractNumId w:val="14"/>
  </w:num>
  <w:num w:numId="34">
    <w:abstractNumId w:val="23"/>
  </w:num>
  <w:num w:numId="35">
    <w:abstractNumId w:val="22"/>
  </w:num>
  <w:num w:numId="36">
    <w:abstractNumId w:val="37"/>
  </w:num>
  <w:num w:numId="37">
    <w:abstractNumId w:val="18"/>
  </w:num>
  <w:num w:numId="38">
    <w:abstractNumId w:val="3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0A76"/>
    <w:rsid w:val="0007079B"/>
    <w:rsid w:val="000856DB"/>
    <w:rsid w:val="000A406A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94C15"/>
    <w:rsid w:val="003B48C7"/>
    <w:rsid w:val="003C0E99"/>
    <w:rsid w:val="003F1C28"/>
    <w:rsid w:val="0040545C"/>
    <w:rsid w:val="00412B10"/>
    <w:rsid w:val="00445F0D"/>
    <w:rsid w:val="00493446"/>
    <w:rsid w:val="004A0502"/>
    <w:rsid w:val="004B5938"/>
    <w:rsid w:val="004C6EAD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2310E"/>
    <w:rsid w:val="0063180A"/>
    <w:rsid w:val="006824BC"/>
    <w:rsid w:val="0071416C"/>
    <w:rsid w:val="0076079E"/>
    <w:rsid w:val="007628AA"/>
    <w:rsid w:val="00771B7C"/>
    <w:rsid w:val="00780EC5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8F4A1E"/>
    <w:rsid w:val="008F6D0B"/>
    <w:rsid w:val="009012FE"/>
    <w:rsid w:val="00953CD2"/>
    <w:rsid w:val="00997D8D"/>
    <w:rsid w:val="009B03FA"/>
    <w:rsid w:val="009B2FD7"/>
    <w:rsid w:val="009B53DB"/>
    <w:rsid w:val="009D0CCC"/>
    <w:rsid w:val="009E2AC9"/>
    <w:rsid w:val="00A12F51"/>
    <w:rsid w:val="00A40310"/>
    <w:rsid w:val="00A5014F"/>
    <w:rsid w:val="00A61F3B"/>
    <w:rsid w:val="00A67CF7"/>
    <w:rsid w:val="00A72965"/>
    <w:rsid w:val="00A74EAE"/>
    <w:rsid w:val="00AB02A8"/>
    <w:rsid w:val="00AC099D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41254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3631-C001-46FF-A8F1-6170E2C2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3</cp:revision>
  <cp:lastPrinted>2024-12-19T13:25:00Z</cp:lastPrinted>
  <dcterms:created xsi:type="dcterms:W3CDTF">2024-12-19T13:07:00Z</dcterms:created>
  <dcterms:modified xsi:type="dcterms:W3CDTF">2024-12-19T13:27:00Z</dcterms:modified>
</cp:coreProperties>
</file>