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56" w:rsidRDefault="001E79FD" w:rsidP="00C9485C">
      <w:pPr>
        <w:ind w:firstLine="0"/>
        <w:jc w:val="center"/>
      </w:pPr>
      <w:bookmarkStart w:id="0" w:name="sub_1000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211056">
        <w:trPr>
          <w:trHeight w:hRule="exact" w:val="2507"/>
        </w:trPr>
        <w:tc>
          <w:tcPr>
            <w:tcW w:w="9360" w:type="dxa"/>
            <w:gridSpan w:val="4"/>
          </w:tcPr>
          <w:p w:rsidR="00D86D82" w:rsidRDefault="00211056" w:rsidP="00482D0C">
            <w:pPr>
              <w:spacing w:before="3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11056" w:rsidRPr="00B46296" w:rsidRDefault="00211056" w:rsidP="00482D0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ВЕРХНЕКАМСКОГО </w:t>
            </w:r>
            <w:r w:rsidR="00D86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:rsidR="00211056" w:rsidRPr="00B46296" w:rsidRDefault="00211056" w:rsidP="00482D0C">
            <w:pPr>
              <w:spacing w:after="3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211056" w:rsidRPr="001850AB" w:rsidRDefault="00211056" w:rsidP="00A6661D">
            <w:pPr>
              <w:pStyle w:val="a4"/>
              <w:keepLines w:val="0"/>
              <w:spacing w:before="0" w:after="480"/>
              <w:rPr>
                <w:bCs/>
                <w:szCs w:val="32"/>
              </w:rPr>
            </w:pPr>
            <w:r w:rsidRPr="001850AB">
              <w:rPr>
                <w:bCs/>
                <w:szCs w:val="32"/>
              </w:rPr>
              <w:t>ПОСТАНОВЛЕНИЕ</w:t>
            </w:r>
          </w:p>
          <w:p w:rsidR="00211056" w:rsidRPr="001850AB" w:rsidRDefault="00211056" w:rsidP="00A6661D">
            <w:pPr>
              <w:pStyle w:val="a4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211056" w:rsidRPr="00736E11" w:rsidRDefault="00211056" w:rsidP="00A6661D">
            <w:pPr>
              <w:tabs>
                <w:tab w:val="left" w:pos="2160"/>
              </w:tabs>
              <w:jc w:val="center"/>
            </w:pPr>
          </w:p>
        </w:tc>
      </w:tr>
      <w:tr w:rsidR="0021105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11056" w:rsidRPr="002F2FEC" w:rsidRDefault="00211056" w:rsidP="009158A9">
            <w:pPr>
              <w:tabs>
                <w:tab w:val="left" w:pos="27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211056" w:rsidRPr="001850AB" w:rsidRDefault="00211056" w:rsidP="0021105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11056" w:rsidRPr="001850AB" w:rsidRDefault="00211056" w:rsidP="00211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11056" w:rsidRPr="00B46296" w:rsidRDefault="002F2FEC" w:rsidP="000F1B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3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056" w:rsidTr="00497736">
        <w:tblPrEx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9360" w:type="dxa"/>
            <w:gridSpan w:val="4"/>
          </w:tcPr>
          <w:p w:rsidR="00211056" w:rsidRPr="00B46296" w:rsidRDefault="00211056" w:rsidP="007D10EE">
            <w:pPr>
              <w:tabs>
                <w:tab w:val="left" w:pos="276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B46296" w:rsidRDefault="00B46296" w:rsidP="00B462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C17" w:rsidRPr="00276E92" w:rsidRDefault="00A62918" w:rsidP="00A629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</w:t>
      </w:r>
      <w:r w:rsidR="00742E6D">
        <w:rPr>
          <w:rFonts w:ascii="Times New Roman" w:hAnsi="Times New Roman" w:cs="Times New Roman"/>
          <w:b/>
          <w:sz w:val="28"/>
          <w:szCs w:val="28"/>
        </w:rPr>
        <w:t>администрацией Верхнекамского муниципального округа</w:t>
      </w:r>
      <w:r w:rsidR="00CF5D07">
        <w:rPr>
          <w:rFonts w:ascii="Times New Roman" w:hAnsi="Times New Roman" w:cs="Times New Roman"/>
          <w:b/>
          <w:sz w:val="28"/>
          <w:szCs w:val="28"/>
        </w:rPr>
        <w:t>, ее отраслевыми органами</w:t>
      </w:r>
      <w:r w:rsidR="00742E6D">
        <w:rPr>
          <w:rFonts w:ascii="Times New Roman" w:hAnsi="Times New Roman" w:cs="Times New Roman"/>
          <w:b/>
          <w:sz w:val="28"/>
          <w:szCs w:val="28"/>
        </w:rPr>
        <w:t xml:space="preserve"> и подведомственны</w:t>
      </w:r>
      <w:r w:rsidR="00CF5D07">
        <w:rPr>
          <w:rFonts w:ascii="Times New Roman" w:hAnsi="Times New Roman" w:cs="Times New Roman"/>
          <w:b/>
          <w:sz w:val="28"/>
          <w:szCs w:val="28"/>
        </w:rPr>
        <w:t>ми</w:t>
      </w:r>
      <w:r w:rsidR="0074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07">
        <w:rPr>
          <w:rFonts w:ascii="Times New Roman" w:hAnsi="Times New Roman" w:cs="Times New Roman"/>
          <w:b/>
          <w:sz w:val="28"/>
          <w:szCs w:val="28"/>
        </w:rPr>
        <w:t>им</w:t>
      </w:r>
      <w:r w:rsidR="00742E6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F5D07">
        <w:rPr>
          <w:rFonts w:ascii="Times New Roman" w:hAnsi="Times New Roman" w:cs="Times New Roman"/>
          <w:b/>
          <w:sz w:val="28"/>
          <w:szCs w:val="28"/>
        </w:rPr>
        <w:t>ями</w:t>
      </w:r>
      <w:r w:rsidR="00742E6D">
        <w:rPr>
          <w:rFonts w:ascii="Times New Roman" w:hAnsi="Times New Roman" w:cs="Times New Roman"/>
          <w:b/>
          <w:sz w:val="28"/>
          <w:szCs w:val="28"/>
        </w:rPr>
        <w:t xml:space="preserve"> обязательств на срок, превышающий срок действия утвержденных лимитов бюджетных обязательств, финансовое обеспечение которых осуществляется за счет </w:t>
      </w:r>
      <w:r w:rsidR="00A93CB9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742E6D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D04C17" w:rsidRDefault="00D04C17" w:rsidP="00D04C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056" w:rsidRPr="00D0100A" w:rsidRDefault="00742E6D" w:rsidP="00E93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A62918" w:rsidRPr="00A62918">
        <w:rPr>
          <w:rFonts w:ascii="Times New Roman" w:hAnsi="Times New Roman" w:cs="Times New Roman"/>
          <w:sz w:val="28"/>
          <w:szCs w:val="28"/>
        </w:rPr>
        <w:t>72</w:t>
      </w:r>
      <w:r w:rsidR="00AE55C0">
        <w:rPr>
          <w:rFonts w:ascii="Times New Roman" w:hAnsi="Times New Roman" w:cs="Times New Roman"/>
          <w:sz w:val="28"/>
          <w:szCs w:val="28"/>
        </w:rPr>
        <w:t xml:space="preserve">, 78.1, </w:t>
      </w:r>
      <w:r>
        <w:rPr>
          <w:rFonts w:ascii="Times New Roman" w:hAnsi="Times New Roman" w:cs="Times New Roman"/>
          <w:sz w:val="28"/>
          <w:szCs w:val="28"/>
        </w:rPr>
        <w:t>78.2, 79</w:t>
      </w:r>
      <w:r w:rsidR="00A62918" w:rsidRPr="00A629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F1246" w:rsidRPr="00D0100A">
        <w:rPr>
          <w:rFonts w:ascii="Times New Roman" w:hAnsi="Times New Roman" w:cs="Times New Roman"/>
          <w:sz w:val="28"/>
          <w:szCs w:val="28"/>
        </w:rPr>
        <w:t xml:space="preserve"> </w:t>
      </w:r>
      <w:r w:rsidR="00211056" w:rsidRPr="00D0100A">
        <w:rPr>
          <w:rFonts w:ascii="Times New Roman" w:hAnsi="Times New Roman" w:cs="Times New Roman"/>
          <w:sz w:val="28"/>
          <w:szCs w:val="28"/>
        </w:rPr>
        <w:t xml:space="preserve">администрация Верхнекамского </w:t>
      </w:r>
      <w:r w:rsidR="00B70A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1056" w:rsidRPr="00D0100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048C1" w:rsidRDefault="000C46B5" w:rsidP="003312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0A">
        <w:rPr>
          <w:rFonts w:ascii="Times New Roman" w:hAnsi="Times New Roman" w:cs="Times New Roman"/>
          <w:sz w:val="28"/>
          <w:szCs w:val="28"/>
        </w:rPr>
        <w:t xml:space="preserve">1. </w:t>
      </w:r>
      <w:r w:rsidR="00A6291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6550D0" w:rsidRPr="006550D0">
        <w:rPr>
          <w:rFonts w:ascii="Times New Roman" w:hAnsi="Times New Roman" w:cs="Times New Roman"/>
          <w:sz w:val="28"/>
          <w:szCs w:val="28"/>
        </w:rPr>
        <w:t>принятия администрацией Верхнекамского муниципального округа, ее отраслевыми органами и подведомственными им учреждениями обязательств на срок, превышающий срок действия утвержденных лимитов бюджетных обязательств, финансовое обеспечение которых осуществляется за счет средств местного бюджета</w:t>
      </w:r>
      <w:bookmarkStart w:id="1" w:name="_GoBack"/>
      <w:bookmarkEnd w:id="1"/>
      <w:r w:rsidR="00A62918">
        <w:rPr>
          <w:rFonts w:ascii="Times New Roman" w:hAnsi="Times New Roman" w:cs="Times New Roman"/>
          <w:sz w:val="28"/>
          <w:szCs w:val="28"/>
        </w:rPr>
        <w:t>.</w:t>
      </w:r>
    </w:p>
    <w:p w:rsidR="00341C7D" w:rsidRDefault="00341C7D" w:rsidP="003312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Верхнекамского района Кировской области от 25.12.2015 № 1402 «</w:t>
      </w:r>
      <w:r w:rsidRPr="00341C7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муниципального образования Верхнекамский 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41C7D">
        <w:rPr>
          <w:rFonts w:ascii="Times New Roman" w:hAnsi="Times New Roman" w:cs="Times New Roman"/>
          <w:sz w:val="28"/>
          <w:szCs w:val="28"/>
        </w:rPr>
        <w:t xml:space="preserve"> Кировской области на срок, превышающий срок 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E2535" w:rsidRPr="00D0100A" w:rsidRDefault="00E35B6E" w:rsidP="00E936A2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rFonts w:eastAsia="Times New Roman"/>
          <w:b w:val="0"/>
          <w:lang w:eastAsia="en-US"/>
        </w:rPr>
        <w:t>3</w:t>
      </w:r>
      <w:r w:rsidR="001E2535" w:rsidRPr="00D0100A">
        <w:rPr>
          <w:rFonts w:eastAsia="Times New Roman"/>
          <w:b w:val="0"/>
          <w:lang w:eastAsia="en-US"/>
        </w:rPr>
        <w:t xml:space="preserve">. </w:t>
      </w:r>
      <w:r w:rsidR="000F2752" w:rsidRPr="000F2752">
        <w:rPr>
          <w:b w:val="0"/>
        </w:rPr>
        <w:t>Настоящее постановление вступает в силу в соответствии с действующим законодательством Российской Федерации.</w:t>
      </w:r>
    </w:p>
    <w:p w:rsidR="006334B1" w:rsidRPr="00D0100A" w:rsidRDefault="006334B1" w:rsidP="00604B3F">
      <w:pPr>
        <w:pStyle w:val="ConsPlusTitle"/>
        <w:widowControl/>
        <w:spacing w:line="360" w:lineRule="auto"/>
        <w:jc w:val="both"/>
        <w:rPr>
          <w:b w:val="0"/>
        </w:rPr>
      </w:pPr>
    </w:p>
    <w:bookmarkEnd w:id="0"/>
    <w:p w:rsidR="00CF5D07" w:rsidRDefault="00CF5D07" w:rsidP="00C322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F5D07" w:rsidRDefault="00CF5D07" w:rsidP="00CF5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2EB" w:rsidRPr="008B0E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1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272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6B5FAD" w:rsidRDefault="00C322EB" w:rsidP="00CF5D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0E0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</w:t>
      </w:r>
      <w:r w:rsidR="003312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0E05">
        <w:rPr>
          <w:rFonts w:ascii="Times New Roman" w:hAnsi="Times New Roman" w:cs="Times New Roman"/>
          <w:sz w:val="28"/>
          <w:szCs w:val="28"/>
        </w:rPr>
        <w:t xml:space="preserve">    </w:t>
      </w:r>
      <w:r w:rsidR="00CF5D07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="00CF5D07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</w:p>
    <w:p w:rsidR="006B5FAD" w:rsidRPr="003B6FCE" w:rsidRDefault="006B5FAD" w:rsidP="006B5FAD">
      <w:pPr>
        <w:spacing w:after="360"/>
        <w:ind w:firstLine="0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5070"/>
        <w:gridCol w:w="1984"/>
        <w:gridCol w:w="2551"/>
      </w:tblGrid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закупок</w:t>
            </w: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И.С. Гирштейн</w:t>
            </w:r>
          </w:p>
        </w:tc>
      </w:tr>
      <w:tr w:rsidR="0030006B" w:rsidRPr="00A32476" w:rsidTr="00087D1D">
        <w:tc>
          <w:tcPr>
            <w:tcW w:w="5070" w:type="dxa"/>
            <w:shd w:val="clear" w:color="auto" w:fill="auto"/>
          </w:tcPr>
          <w:p w:rsidR="0030006B" w:rsidRPr="00A32476" w:rsidRDefault="0030006B" w:rsidP="00087D1D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B" w:rsidRPr="00A32476" w:rsidTr="00087D1D">
        <w:tc>
          <w:tcPr>
            <w:tcW w:w="5070" w:type="dxa"/>
            <w:shd w:val="clear" w:color="auto" w:fill="auto"/>
          </w:tcPr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по финансово-экономической политике,</w:t>
            </w:r>
          </w:p>
          <w:p w:rsidR="0030006B" w:rsidRPr="00A32476" w:rsidRDefault="0030006B" w:rsidP="00087D1D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С.И. Логинова</w:t>
            </w:r>
          </w:p>
        </w:tc>
      </w:tr>
      <w:tr w:rsidR="0030006B" w:rsidRPr="002048C1" w:rsidTr="00087D1D">
        <w:tc>
          <w:tcPr>
            <w:tcW w:w="5070" w:type="dxa"/>
            <w:shd w:val="clear" w:color="auto" w:fill="auto"/>
          </w:tcPr>
          <w:p w:rsidR="0030006B" w:rsidRPr="00A32476" w:rsidRDefault="009D2925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Заведующий правовым отделом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9D2925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Шмигальская</w:t>
            </w:r>
            <w:proofErr w:type="spellEnd"/>
          </w:p>
        </w:tc>
      </w:tr>
    </w:tbl>
    <w:p w:rsidR="006B5FAD" w:rsidRPr="00D0100A" w:rsidRDefault="0030006B" w:rsidP="00561582">
      <w:pPr>
        <w:spacing w:before="960" w:after="480"/>
        <w:ind w:firstLine="0"/>
        <w:rPr>
          <w:rFonts w:ascii="Times New Roman" w:hAnsi="Times New Roman" w:cs="Times New Roman"/>
          <w:sz w:val="28"/>
          <w:szCs w:val="28"/>
        </w:rPr>
      </w:pPr>
      <w:r w:rsidRPr="00D0100A">
        <w:rPr>
          <w:rFonts w:ascii="Times New Roman" w:hAnsi="Times New Roman" w:cs="Times New Roman"/>
          <w:sz w:val="28"/>
          <w:szCs w:val="28"/>
        </w:rPr>
        <w:t>Разослать: 1 экз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100A">
        <w:rPr>
          <w:rFonts w:ascii="Times New Roman" w:hAnsi="Times New Roman" w:cs="Times New Roman"/>
          <w:sz w:val="28"/>
          <w:szCs w:val="28"/>
        </w:rPr>
        <w:t xml:space="preserve"> – правовой отдел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00A">
        <w:rPr>
          <w:rFonts w:ascii="Times New Roman" w:hAnsi="Times New Roman" w:cs="Times New Roman"/>
          <w:sz w:val="28"/>
          <w:szCs w:val="28"/>
        </w:rPr>
        <w:t xml:space="preserve"> 1 экз.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0100A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sectPr w:rsidR="006B5FAD" w:rsidRPr="00D0100A" w:rsidSect="00585FF9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BE4"/>
    <w:multiLevelType w:val="hybridMultilevel"/>
    <w:tmpl w:val="B3069B2A"/>
    <w:lvl w:ilvl="0" w:tplc="F7E6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56"/>
    <w:rsid w:val="00007250"/>
    <w:rsid w:val="0002147B"/>
    <w:rsid w:val="000251F5"/>
    <w:rsid w:val="00051AAC"/>
    <w:rsid w:val="00052B1D"/>
    <w:rsid w:val="00056F52"/>
    <w:rsid w:val="00057718"/>
    <w:rsid w:val="00065209"/>
    <w:rsid w:val="00086100"/>
    <w:rsid w:val="000C46B5"/>
    <w:rsid w:val="000E4E79"/>
    <w:rsid w:val="000F1B2B"/>
    <w:rsid w:val="000F2752"/>
    <w:rsid w:val="0012274B"/>
    <w:rsid w:val="00127346"/>
    <w:rsid w:val="00130494"/>
    <w:rsid w:val="00132934"/>
    <w:rsid w:val="00132DCD"/>
    <w:rsid w:val="00146418"/>
    <w:rsid w:val="00196E2B"/>
    <w:rsid w:val="001D01A8"/>
    <w:rsid w:val="001D69DA"/>
    <w:rsid w:val="001E2535"/>
    <w:rsid w:val="001E5A03"/>
    <w:rsid w:val="001E5A67"/>
    <w:rsid w:val="001E78B7"/>
    <w:rsid w:val="001E79FD"/>
    <w:rsid w:val="001F1A04"/>
    <w:rsid w:val="002044D9"/>
    <w:rsid w:val="002048C1"/>
    <w:rsid w:val="002074B6"/>
    <w:rsid w:val="00211056"/>
    <w:rsid w:val="002165F0"/>
    <w:rsid w:val="0021791E"/>
    <w:rsid w:val="0023099C"/>
    <w:rsid w:val="00231873"/>
    <w:rsid w:val="00242D67"/>
    <w:rsid w:val="00252C92"/>
    <w:rsid w:val="00260EAA"/>
    <w:rsid w:val="00265B2B"/>
    <w:rsid w:val="00276E92"/>
    <w:rsid w:val="002920EE"/>
    <w:rsid w:val="002B5E62"/>
    <w:rsid w:val="002E0A2C"/>
    <w:rsid w:val="002F2FEC"/>
    <w:rsid w:val="0030006B"/>
    <w:rsid w:val="00300CEF"/>
    <w:rsid w:val="0030120E"/>
    <w:rsid w:val="00306C2D"/>
    <w:rsid w:val="00331272"/>
    <w:rsid w:val="003363F4"/>
    <w:rsid w:val="00341C7D"/>
    <w:rsid w:val="0035509B"/>
    <w:rsid w:val="00355CE5"/>
    <w:rsid w:val="0037718F"/>
    <w:rsid w:val="00395766"/>
    <w:rsid w:val="003A5F7C"/>
    <w:rsid w:val="003B1DF6"/>
    <w:rsid w:val="003B713C"/>
    <w:rsid w:val="003C0F46"/>
    <w:rsid w:val="003C3E92"/>
    <w:rsid w:val="003D094E"/>
    <w:rsid w:val="003F1246"/>
    <w:rsid w:val="003F6ABF"/>
    <w:rsid w:val="00425CCE"/>
    <w:rsid w:val="004304B5"/>
    <w:rsid w:val="00450A20"/>
    <w:rsid w:val="00450BCC"/>
    <w:rsid w:val="0045313A"/>
    <w:rsid w:val="0047154A"/>
    <w:rsid w:val="004735E4"/>
    <w:rsid w:val="004744BB"/>
    <w:rsid w:val="0047714A"/>
    <w:rsid w:val="00482D0C"/>
    <w:rsid w:val="004970D3"/>
    <w:rsid w:val="00497736"/>
    <w:rsid w:val="004D080D"/>
    <w:rsid w:val="004E2B18"/>
    <w:rsid w:val="004F789A"/>
    <w:rsid w:val="005072DA"/>
    <w:rsid w:val="00507A58"/>
    <w:rsid w:val="00541ECB"/>
    <w:rsid w:val="00561582"/>
    <w:rsid w:val="00567AF6"/>
    <w:rsid w:val="00577506"/>
    <w:rsid w:val="00585FF9"/>
    <w:rsid w:val="005B3300"/>
    <w:rsid w:val="005D7A52"/>
    <w:rsid w:val="005F22A7"/>
    <w:rsid w:val="005F4582"/>
    <w:rsid w:val="00604B3F"/>
    <w:rsid w:val="00612572"/>
    <w:rsid w:val="00616D6F"/>
    <w:rsid w:val="006334B1"/>
    <w:rsid w:val="006412F8"/>
    <w:rsid w:val="00642A0A"/>
    <w:rsid w:val="006445FB"/>
    <w:rsid w:val="00644D1E"/>
    <w:rsid w:val="0064693F"/>
    <w:rsid w:val="0065484C"/>
    <w:rsid w:val="006550D0"/>
    <w:rsid w:val="00677653"/>
    <w:rsid w:val="006906A6"/>
    <w:rsid w:val="006A1D19"/>
    <w:rsid w:val="006B0F28"/>
    <w:rsid w:val="006B21D5"/>
    <w:rsid w:val="006B3FF7"/>
    <w:rsid w:val="006B5FAD"/>
    <w:rsid w:val="006C18B0"/>
    <w:rsid w:val="006C38C1"/>
    <w:rsid w:val="006C3DBA"/>
    <w:rsid w:val="006C4AB2"/>
    <w:rsid w:val="006C56EA"/>
    <w:rsid w:val="00710F68"/>
    <w:rsid w:val="00713627"/>
    <w:rsid w:val="00713D93"/>
    <w:rsid w:val="0071736E"/>
    <w:rsid w:val="00720E79"/>
    <w:rsid w:val="007309FD"/>
    <w:rsid w:val="007324E1"/>
    <w:rsid w:val="00736626"/>
    <w:rsid w:val="00742E6D"/>
    <w:rsid w:val="007472DC"/>
    <w:rsid w:val="00772499"/>
    <w:rsid w:val="00775DF8"/>
    <w:rsid w:val="0078037C"/>
    <w:rsid w:val="007871FC"/>
    <w:rsid w:val="007975F9"/>
    <w:rsid w:val="007A2489"/>
    <w:rsid w:val="007A5A66"/>
    <w:rsid w:val="007B4CAD"/>
    <w:rsid w:val="007B5781"/>
    <w:rsid w:val="007C42EE"/>
    <w:rsid w:val="007D10EE"/>
    <w:rsid w:val="007D2BC8"/>
    <w:rsid w:val="007D4A65"/>
    <w:rsid w:val="007D59A8"/>
    <w:rsid w:val="007D5FE5"/>
    <w:rsid w:val="007E38EA"/>
    <w:rsid w:val="007E6869"/>
    <w:rsid w:val="007F1481"/>
    <w:rsid w:val="007F3039"/>
    <w:rsid w:val="007F4FA2"/>
    <w:rsid w:val="0080077A"/>
    <w:rsid w:val="00843637"/>
    <w:rsid w:val="00850829"/>
    <w:rsid w:val="00856C0D"/>
    <w:rsid w:val="00861FFD"/>
    <w:rsid w:val="00866E20"/>
    <w:rsid w:val="00891546"/>
    <w:rsid w:val="008A1F02"/>
    <w:rsid w:val="008B01A4"/>
    <w:rsid w:val="008B20B3"/>
    <w:rsid w:val="008B752B"/>
    <w:rsid w:val="008B75FD"/>
    <w:rsid w:val="008C1B4A"/>
    <w:rsid w:val="008C6C3A"/>
    <w:rsid w:val="008D5778"/>
    <w:rsid w:val="008D6C0E"/>
    <w:rsid w:val="008E0D4A"/>
    <w:rsid w:val="00904422"/>
    <w:rsid w:val="00912367"/>
    <w:rsid w:val="009158A9"/>
    <w:rsid w:val="00930372"/>
    <w:rsid w:val="009466C0"/>
    <w:rsid w:val="00952771"/>
    <w:rsid w:val="0095794A"/>
    <w:rsid w:val="00986024"/>
    <w:rsid w:val="00997597"/>
    <w:rsid w:val="009A5009"/>
    <w:rsid w:val="009B1CD3"/>
    <w:rsid w:val="009D0F67"/>
    <w:rsid w:val="009D2925"/>
    <w:rsid w:val="009F6092"/>
    <w:rsid w:val="00A34345"/>
    <w:rsid w:val="00A41BB0"/>
    <w:rsid w:val="00A52B05"/>
    <w:rsid w:val="00A546ED"/>
    <w:rsid w:val="00A577F7"/>
    <w:rsid w:val="00A6026B"/>
    <w:rsid w:val="00A62918"/>
    <w:rsid w:val="00A6661D"/>
    <w:rsid w:val="00A6780E"/>
    <w:rsid w:val="00A74C23"/>
    <w:rsid w:val="00A82EB3"/>
    <w:rsid w:val="00A93CB9"/>
    <w:rsid w:val="00A9632D"/>
    <w:rsid w:val="00AA05FC"/>
    <w:rsid w:val="00AD21C1"/>
    <w:rsid w:val="00AE55C0"/>
    <w:rsid w:val="00AF6C77"/>
    <w:rsid w:val="00B03365"/>
    <w:rsid w:val="00B14225"/>
    <w:rsid w:val="00B17710"/>
    <w:rsid w:val="00B178C7"/>
    <w:rsid w:val="00B23DFC"/>
    <w:rsid w:val="00B24EFE"/>
    <w:rsid w:val="00B367C2"/>
    <w:rsid w:val="00B41113"/>
    <w:rsid w:val="00B439F3"/>
    <w:rsid w:val="00B46296"/>
    <w:rsid w:val="00B57C25"/>
    <w:rsid w:val="00B70A9A"/>
    <w:rsid w:val="00B7797B"/>
    <w:rsid w:val="00B946C7"/>
    <w:rsid w:val="00BA0636"/>
    <w:rsid w:val="00BA7851"/>
    <w:rsid w:val="00BC63F3"/>
    <w:rsid w:val="00BE7C6B"/>
    <w:rsid w:val="00BF3419"/>
    <w:rsid w:val="00C0722F"/>
    <w:rsid w:val="00C25042"/>
    <w:rsid w:val="00C317A4"/>
    <w:rsid w:val="00C3220F"/>
    <w:rsid w:val="00C322EB"/>
    <w:rsid w:val="00C32F2A"/>
    <w:rsid w:val="00C358C0"/>
    <w:rsid w:val="00C61550"/>
    <w:rsid w:val="00C9485C"/>
    <w:rsid w:val="00C96A12"/>
    <w:rsid w:val="00CA2E72"/>
    <w:rsid w:val="00CD25FC"/>
    <w:rsid w:val="00CE75B3"/>
    <w:rsid w:val="00CF153F"/>
    <w:rsid w:val="00CF5D07"/>
    <w:rsid w:val="00D0100A"/>
    <w:rsid w:val="00D04C17"/>
    <w:rsid w:val="00D146D0"/>
    <w:rsid w:val="00D23D60"/>
    <w:rsid w:val="00D248D6"/>
    <w:rsid w:val="00D25C4E"/>
    <w:rsid w:val="00D43E02"/>
    <w:rsid w:val="00D475CB"/>
    <w:rsid w:val="00D51303"/>
    <w:rsid w:val="00D64F7E"/>
    <w:rsid w:val="00D77068"/>
    <w:rsid w:val="00D8531C"/>
    <w:rsid w:val="00D86D82"/>
    <w:rsid w:val="00D924BA"/>
    <w:rsid w:val="00D972C9"/>
    <w:rsid w:val="00DA634D"/>
    <w:rsid w:val="00DA6ADB"/>
    <w:rsid w:val="00DB078F"/>
    <w:rsid w:val="00DB40D8"/>
    <w:rsid w:val="00DC5970"/>
    <w:rsid w:val="00DD38DC"/>
    <w:rsid w:val="00DD3EDF"/>
    <w:rsid w:val="00DE6408"/>
    <w:rsid w:val="00E012BC"/>
    <w:rsid w:val="00E11121"/>
    <w:rsid w:val="00E35B6E"/>
    <w:rsid w:val="00E6707E"/>
    <w:rsid w:val="00E928EA"/>
    <w:rsid w:val="00E92F80"/>
    <w:rsid w:val="00E936A2"/>
    <w:rsid w:val="00E94D58"/>
    <w:rsid w:val="00EA7A2A"/>
    <w:rsid w:val="00ED45A2"/>
    <w:rsid w:val="00EE4133"/>
    <w:rsid w:val="00EF5457"/>
    <w:rsid w:val="00F04CC7"/>
    <w:rsid w:val="00F10B00"/>
    <w:rsid w:val="00F3105B"/>
    <w:rsid w:val="00F32607"/>
    <w:rsid w:val="00F42011"/>
    <w:rsid w:val="00F52403"/>
    <w:rsid w:val="00F53464"/>
    <w:rsid w:val="00F6175D"/>
    <w:rsid w:val="00F709C7"/>
    <w:rsid w:val="00F748A2"/>
    <w:rsid w:val="00F75CBC"/>
    <w:rsid w:val="00F919A4"/>
    <w:rsid w:val="00F92C41"/>
    <w:rsid w:val="00F933EC"/>
    <w:rsid w:val="00FA2AE6"/>
    <w:rsid w:val="00FA3FEF"/>
    <w:rsid w:val="00FD3AD4"/>
    <w:rsid w:val="00FD4026"/>
    <w:rsid w:val="00FE2D1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A7A2A"/>
    <w:pPr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11056"/>
    <w:rPr>
      <w:color w:val="auto"/>
    </w:rPr>
  </w:style>
  <w:style w:type="paragraph" w:customStyle="1" w:styleId="ConsPlusNormal">
    <w:name w:val="ConsPlusNormal"/>
    <w:rsid w:val="00211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Первая строка заголовка"/>
    <w:basedOn w:val="a"/>
    <w:rsid w:val="00211056"/>
    <w:pPr>
      <w:keepNext/>
      <w:keepLines/>
      <w:widowControl/>
      <w:autoSpaceDE/>
      <w:autoSpaceDN/>
      <w:adjustRightInd/>
      <w:spacing w:before="960" w:after="120"/>
      <w:ind w:firstLin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character" w:customStyle="1" w:styleId="10">
    <w:name w:val="Заголовок 1 Знак"/>
    <w:link w:val="1"/>
    <w:locked/>
    <w:rsid w:val="00EA7A2A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5">
    <w:name w:val="Нормальный (таблица)"/>
    <w:basedOn w:val="a"/>
    <w:next w:val="a"/>
    <w:rsid w:val="00EA7A2A"/>
    <w:pPr>
      <w:ind w:firstLine="0"/>
    </w:pPr>
    <w:rPr>
      <w:rFonts w:eastAsia="Calibri"/>
    </w:rPr>
  </w:style>
  <w:style w:type="paragraph" w:customStyle="1" w:styleId="11">
    <w:name w:val="Знак Знак1"/>
    <w:basedOn w:val="a"/>
    <w:rsid w:val="001E253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1E2535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7324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324E1"/>
  </w:style>
  <w:style w:type="paragraph" w:styleId="a8">
    <w:name w:val="Balloon Text"/>
    <w:basedOn w:val="a"/>
    <w:link w:val="a9"/>
    <w:rsid w:val="008436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4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A7A2A"/>
    <w:pPr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11056"/>
    <w:rPr>
      <w:color w:val="auto"/>
    </w:rPr>
  </w:style>
  <w:style w:type="paragraph" w:customStyle="1" w:styleId="ConsPlusNormal">
    <w:name w:val="ConsPlusNormal"/>
    <w:rsid w:val="00211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Первая строка заголовка"/>
    <w:basedOn w:val="a"/>
    <w:rsid w:val="00211056"/>
    <w:pPr>
      <w:keepNext/>
      <w:keepLines/>
      <w:widowControl/>
      <w:autoSpaceDE/>
      <w:autoSpaceDN/>
      <w:adjustRightInd/>
      <w:spacing w:before="960" w:after="120"/>
      <w:ind w:firstLin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character" w:customStyle="1" w:styleId="10">
    <w:name w:val="Заголовок 1 Знак"/>
    <w:link w:val="1"/>
    <w:locked/>
    <w:rsid w:val="00EA7A2A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5">
    <w:name w:val="Нормальный (таблица)"/>
    <w:basedOn w:val="a"/>
    <w:next w:val="a"/>
    <w:rsid w:val="00EA7A2A"/>
    <w:pPr>
      <w:ind w:firstLine="0"/>
    </w:pPr>
    <w:rPr>
      <w:rFonts w:eastAsia="Calibri"/>
    </w:rPr>
  </w:style>
  <w:style w:type="paragraph" w:customStyle="1" w:styleId="11">
    <w:name w:val="Знак Знак1"/>
    <w:basedOn w:val="a"/>
    <w:rsid w:val="001E253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1E2535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7324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324E1"/>
  </w:style>
  <w:style w:type="paragraph" w:styleId="a8">
    <w:name w:val="Balloon Text"/>
    <w:basedOn w:val="a"/>
    <w:link w:val="a9"/>
    <w:rsid w:val="008436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4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262E-43D7-47BB-AA43-9D4A4E53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2000</CharactersWithSpaces>
  <SharedDoc>false</SharedDoc>
  <HLinks>
    <vt:vector size="6" baseType="variant"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consultantplus://offline/ref=2AB3F3F71EBCE4DE4241C268B302EEAF7DE5A94E763E56379141DCDF14DAE96723B1E261275F8E23KBbBL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2024-11-25T12:00:00Z</cp:lastPrinted>
  <dcterms:created xsi:type="dcterms:W3CDTF">2024-06-05T08:23:00Z</dcterms:created>
  <dcterms:modified xsi:type="dcterms:W3CDTF">2024-11-25T12:49:00Z</dcterms:modified>
</cp:coreProperties>
</file>